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pPr w:leftFromText="180" w:rightFromText="180" w:vertAnchor="text" w:horzAnchor="margin" w:tblpXSpec="right" w:tblpY="61"/>
        <w:tblW w:w="31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980"/>
      </w:tblGrid>
      <w:tr w14:paraId="3897B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134" w:type="dxa"/>
          </w:tcPr>
          <w:p w14:paraId="445D62E5">
            <w:pPr>
              <w:tabs>
                <w:tab w:val="left" w:pos="7080"/>
              </w:tabs>
              <w:spacing w:line="360" w:lineRule="auto"/>
              <w:jc w:val="left"/>
              <w:rPr>
                <w:rFonts w:ascii="Times New Roman" w:hAnsi="Times New Roman" w:eastAsia="方正仿宋_GB2312" w:cs="Times New Roman"/>
                <w:sz w:val="18"/>
                <w:szCs w:val="18"/>
                <w14:ligatures w14:val="standardContextual"/>
              </w:rPr>
            </w:pPr>
            <w:bookmarkStart w:id="0" w:name="_Toc10655"/>
            <w:bookmarkStart w:id="1" w:name="_Toc30749"/>
            <w:r>
              <w:rPr>
                <w:rFonts w:hint="eastAsia" w:ascii="Times New Roman" w:hAnsi="Times New Roman" w:eastAsia="方正仿宋_GB2312" w:cs="Times New Roman"/>
                <w:sz w:val="18"/>
                <w:szCs w:val="18"/>
                <w14:ligatures w14:val="standardContextual"/>
              </w:rPr>
              <w:t>文档类别</w:t>
            </w:r>
          </w:p>
        </w:tc>
        <w:tc>
          <w:tcPr>
            <w:tcW w:w="1980" w:type="dxa"/>
          </w:tcPr>
          <w:p w14:paraId="4DA7C75A">
            <w:pPr>
              <w:tabs>
                <w:tab w:val="left" w:pos="7080"/>
              </w:tabs>
              <w:spacing w:line="360" w:lineRule="auto"/>
              <w:jc w:val="left"/>
              <w:rPr>
                <w:rFonts w:ascii="Times New Roman" w:hAnsi="Times New Roman" w:eastAsia="方正仿宋_GB2312" w:cs="Times New Roman"/>
                <w:sz w:val="18"/>
                <w:szCs w:val="18"/>
                <w14:ligatures w14:val="standardContextual"/>
              </w:rPr>
            </w:pPr>
            <w:r>
              <w:rPr>
                <w:rFonts w:hint="eastAsia" w:ascii="Cambria" w:hAnsi="Cambria" w:eastAsia="方正仿宋_GB2312" w:cs="Cambria"/>
                <w:sz w:val="18"/>
                <w:szCs w:val="18"/>
                <w14:ligatures w14:val="standardContextual"/>
              </w:rPr>
              <w:t>保密资料</w:t>
            </w:r>
          </w:p>
        </w:tc>
      </w:tr>
      <w:tr w14:paraId="390C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134" w:type="dxa"/>
          </w:tcPr>
          <w:p w14:paraId="2E83FAC4">
            <w:pPr>
              <w:tabs>
                <w:tab w:val="left" w:pos="7080"/>
              </w:tabs>
              <w:spacing w:line="360" w:lineRule="auto"/>
              <w:jc w:val="left"/>
              <w:rPr>
                <w:rFonts w:ascii="Times New Roman" w:hAnsi="Times New Roman" w:eastAsia="方正仿宋_GB2312" w:cs="Times New Roman"/>
                <w:sz w:val="18"/>
                <w:szCs w:val="18"/>
                <w14:ligatures w14:val="standardContextual"/>
              </w:rPr>
            </w:pPr>
            <w:r>
              <w:rPr>
                <w:rFonts w:hint="eastAsia" w:ascii="宋体" w:hAnsi="宋体" w:eastAsia="宋体" w:cs="宋体"/>
                <w:sz w:val="18"/>
                <w:szCs w:val="18"/>
                <w14:ligatures w14:val="standardContextual"/>
              </w:rPr>
              <w:t>文档名称</w:t>
            </w:r>
          </w:p>
        </w:tc>
        <w:tc>
          <w:tcPr>
            <w:tcW w:w="1980" w:type="dxa"/>
          </w:tcPr>
          <w:p w14:paraId="18380B0B">
            <w:pPr>
              <w:tabs>
                <w:tab w:val="left" w:pos="7080"/>
              </w:tabs>
              <w:spacing w:line="360" w:lineRule="auto"/>
              <w:jc w:val="left"/>
              <w:rPr>
                <w:rFonts w:ascii="Times New Roman" w:hAnsi="Times New Roman" w:eastAsia="方正仿宋_GB2312" w:cs="Times New Roman"/>
                <w:sz w:val="18"/>
                <w:szCs w:val="18"/>
                <w14:ligatures w14:val="standardContextual"/>
              </w:rPr>
            </w:pPr>
            <w:r>
              <w:rPr>
                <w:rFonts w:hint="eastAsia" w:ascii="Cambria" w:hAnsi="Cambria" w:eastAsia="方正仿宋_GB2312" w:cs="Times New Roman"/>
                <w:sz w:val="18"/>
                <w:szCs w:val="18"/>
                <w14:ligatures w14:val="standardContextual"/>
              </w:rPr>
              <w:t>岗位目标责任书</w:t>
            </w:r>
          </w:p>
        </w:tc>
      </w:tr>
      <w:tr w14:paraId="6166B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134" w:type="dxa"/>
          </w:tcPr>
          <w:p w14:paraId="2E315783">
            <w:pPr>
              <w:tabs>
                <w:tab w:val="left" w:pos="7080"/>
              </w:tabs>
              <w:spacing w:line="360" w:lineRule="auto"/>
              <w:jc w:val="left"/>
              <w:rPr>
                <w:rFonts w:ascii="Times New Roman" w:hAnsi="Times New Roman" w:eastAsia="方正仿宋_GB2312" w:cs="Times New Roman"/>
                <w:sz w:val="18"/>
                <w:szCs w:val="18"/>
                <w:highlight w:val="yellow"/>
                <w14:ligatures w14:val="standardContextual"/>
              </w:rPr>
            </w:pPr>
            <w:r>
              <w:rPr>
                <w:rFonts w:hint="eastAsia" w:ascii="Times New Roman" w:hAnsi="Times New Roman" w:eastAsia="方正仿宋_GB2312" w:cs="Times New Roman"/>
                <w:sz w:val="18"/>
                <w:szCs w:val="18"/>
                <w:highlight w:val="yellow"/>
                <w14:ligatures w14:val="standardContextual"/>
              </w:rPr>
              <w:t>文档</w:t>
            </w:r>
            <w:r>
              <w:rPr>
                <w:rFonts w:hint="eastAsia" w:ascii="宋体" w:hAnsi="宋体" w:eastAsia="宋体" w:cs="宋体"/>
                <w:sz w:val="18"/>
                <w:szCs w:val="18"/>
                <w:highlight w:val="yellow"/>
                <w14:ligatures w14:val="standardContextual"/>
              </w:rPr>
              <w:t>编号</w:t>
            </w:r>
          </w:p>
        </w:tc>
        <w:tc>
          <w:tcPr>
            <w:tcW w:w="1980" w:type="dxa"/>
          </w:tcPr>
          <w:p w14:paraId="35F70AD1">
            <w:pPr>
              <w:tabs>
                <w:tab w:val="left" w:pos="7080"/>
              </w:tabs>
              <w:spacing w:line="360" w:lineRule="auto"/>
              <w:jc w:val="left"/>
              <w:rPr>
                <w:rFonts w:ascii="Times New Roman" w:hAnsi="Times New Roman" w:eastAsia="方正仿宋_GB2312" w:cs="Times New Roman"/>
                <w:sz w:val="18"/>
                <w:szCs w:val="18"/>
                <w:highlight w:val="yellow"/>
                <w14:ligatures w14:val="standardContextual"/>
              </w:rPr>
            </w:pPr>
            <w:r>
              <w:rPr>
                <w:rFonts w:hint="eastAsia" w:ascii="Cambria" w:hAnsi="Cambria" w:eastAsia="方正仿宋_GB2312" w:cs="Times New Roman"/>
                <w:sz w:val="18"/>
                <w:szCs w:val="18"/>
                <w:highlight w:val="yellow"/>
                <w14:ligatures w14:val="standardContextual"/>
              </w:rPr>
              <w:t>XJQWSY</w:t>
            </w:r>
            <w:r>
              <w:rPr>
                <w:rFonts w:hint="eastAsia" w:ascii="Times New Roman" w:hAnsi="Times New Roman" w:eastAsia="方正仿宋_GB2312" w:cs="Times New Roman"/>
                <w:sz w:val="18"/>
                <w:szCs w:val="18"/>
                <w:highlight w:val="yellow"/>
                <w14:ligatures w14:val="standardContextual"/>
              </w:rPr>
              <w:t>—</w:t>
            </w:r>
            <w:r>
              <w:rPr>
                <w:rFonts w:hint="eastAsia" w:ascii="Cambria" w:hAnsi="Cambria" w:eastAsia="方正仿宋_GB2312" w:cs="Times New Roman"/>
                <w:sz w:val="18"/>
                <w:szCs w:val="18"/>
                <w:highlight w:val="yellow"/>
                <w:lang w:val="en-US" w:eastAsia="zh-CN"/>
                <w14:ligatures w14:val="standardContextual"/>
              </w:rPr>
              <w:t>ZG</w:t>
            </w:r>
            <w:r>
              <w:rPr>
                <w:rFonts w:hint="eastAsia" w:ascii="Cambria" w:hAnsi="Cambria" w:eastAsia="方正仿宋_GB2312" w:cs="Times New Roman"/>
                <w:sz w:val="18"/>
                <w:szCs w:val="18"/>
                <w:highlight w:val="yellow"/>
                <w14:ligatures w14:val="standardContextual"/>
              </w:rPr>
              <w:t>B001</w:t>
            </w:r>
            <w:r>
              <w:rPr>
                <w:rFonts w:hint="eastAsia" w:ascii="Times New Roman" w:hAnsi="Times New Roman" w:eastAsia="方正仿宋_GB2312" w:cs="Times New Roman"/>
                <w:sz w:val="18"/>
                <w:szCs w:val="18"/>
                <w:highlight w:val="yellow"/>
                <w14:ligatures w14:val="standardContextual"/>
              </w:rPr>
              <w:t xml:space="preserve"> </w:t>
            </w:r>
          </w:p>
        </w:tc>
      </w:tr>
    </w:tbl>
    <w:p w14:paraId="4D808655">
      <w:pPr>
        <w:tabs>
          <w:tab w:val="left" w:pos="2645"/>
        </w:tabs>
        <w:spacing w:line="360" w:lineRule="auto"/>
        <w:jc w:val="left"/>
        <w:rPr>
          <w:rFonts w:ascii="Times New Roman" w:hAnsi="Times New Roman" w:eastAsia="方正仿宋_GB2312" w:cs="Times New Roman"/>
          <w:sz w:val="48"/>
          <w:szCs w:val="48"/>
          <w14:ligatures w14:val="standardContextual"/>
        </w:rPr>
      </w:pPr>
      <w:r>
        <w:rPr>
          <w:rFonts w:hint="eastAsia" w:ascii="Times New Roman" w:hAnsi="Times New Roman" w:eastAsia="方正仿宋_GB2312" w:cs="Times New Roman"/>
          <w:sz w:val="48"/>
          <w:szCs w:val="48"/>
          <w14:ligatures w14:val="standardContextual"/>
        </w:rPr>
        <w:tab/>
      </w:r>
    </w:p>
    <w:p w14:paraId="56AE3FC6">
      <w:pPr>
        <w:spacing w:line="360" w:lineRule="auto"/>
        <w:jc w:val="center"/>
        <w:rPr>
          <w:rFonts w:ascii="Times New Roman" w:hAnsi="Times New Roman" w:eastAsia="方正仿宋_GB2312" w:cs="Times New Roman"/>
          <w:sz w:val="48"/>
          <w:szCs w:val="48"/>
          <w14:ligatures w14:val="standardContextual"/>
        </w:rPr>
      </w:pPr>
    </w:p>
    <w:p w14:paraId="29DD018B">
      <w:pPr>
        <w:tabs>
          <w:tab w:val="left" w:pos="7080"/>
        </w:tabs>
        <w:spacing w:line="360" w:lineRule="auto"/>
        <w:jc w:val="left"/>
        <w:rPr>
          <w:rFonts w:ascii="Times New Roman" w:hAnsi="Times New Roman" w:eastAsia="方正仿宋_GB2312" w:cs="Times New Roman"/>
          <w:sz w:val="48"/>
          <w:szCs w:val="48"/>
          <w14:ligatures w14:val="standardContextual"/>
        </w:rPr>
      </w:pPr>
      <w:r>
        <w:rPr>
          <w:rFonts w:ascii="Times New Roman" w:hAnsi="Times New Roman" w:eastAsia="方正仿宋_GB2312" w:cs="Times New Roman"/>
          <w:sz w:val="48"/>
          <w:szCs w:val="48"/>
          <w14:ligatures w14:val="standardContextual"/>
        </w:rPr>
        <w:tab/>
      </w:r>
    </w:p>
    <w:p w14:paraId="7F54EF14">
      <w:pPr>
        <w:spacing w:before="100" w:beforeAutospacing="1" w:after="100" w:afterAutospacing="1" w:line="480" w:lineRule="auto"/>
        <w:jc w:val="center"/>
        <w:rPr>
          <w:rFonts w:hint="eastAsia" w:ascii="黑体" w:hAnsi="黑体" w:eastAsia="黑体" w:cs="Times New Roman"/>
          <w:b/>
          <w:bCs/>
          <w:sz w:val="44"/>
          <w:szCs w:val="44"/>
          <w14:ligatures w14:val="standardContextual"/>
        </w:rPr>
      </w:pPr>
      <w:r>
        <w:rPr>
          <w:rFonts w:hint="eastAsia" w:ascii="黑体" w:hAnsi="黑体" w:eastAsia="黑体" w:cs="Times New Roman"/>
          <w:b/>
          <w:bCs/>
          <w:sz w:val="44"/>
          <w:szCs w:val="44"/>
          <w:lang w:val="en-US" w:eastAsia="zh-CN"/>
          <w14:ligatures w14:val="standardContextual"/>
        </w:rPr>
        <w:t>技术</w:t>
      </w:r>
      <w:r>
        <w:rPr>
          <w:rFonts w:ascii="黑体" w:hAnsi="黑体" w:eastAsia="黑体" w:cs="Times New Roman"/>
          <w:b/>
          <w:bCs/>
          <w:sz w:val="44"/>
          <w:szCs w:val="44"/>
          <w14:ligatures w14:val="standardContextual"/>
        </w:rPr>
        <w:t>部岗位</w:t>
      </w:r>
      <w:r>
        <w:rPr>
          <w:rFonts w:hint="eastAsia" w:ascii="黑体" w:hAnsi="黑体" w:eastAsia="黑体" w:cs="Times New Roman"/>
          <w:b/>
          <w:bCs/>
          <w:sz w:val="44"/>
          <w:szCs w:val="44"/>
          <w14:ligatures w14:val="standardContextual"/>
        </w:rPr>
        <w:t>目标责任书</w:t>
      </w:r>
      <w:bookmarkEnd w:id="0"/>
      <w:bookmarkEnd w:id="1"/>
    </w:p>
    <w:p w14:paraId="4FFF0AED">
      <w:pPr>
        <w:spacing w:before="100" w:beforeAutospacing="1" w:after="100" w:afterAutospacing="1" w:line="480" w:lineRule="auto"/>
        <w:jc w:val="center"/>
        <w:rPr>
          <w:rFonts w:hint="eastAsia" w:ascii="黑体" w:hAnsi="黑体" w:eastAsia="黑体" w:cs="Times New Roman"/>
          <w:b/>
          <w:bCs/>
          <w:sz w:val="44"/>
          <w:szCs w:val="44"/>
          <w14:ligatures w14:val="standardContextual"/>
        </w:rPr>
      </w:pPr>
      <w:r>
        <w:rPr>
          <w:rFonts w:hint="eastAsia" w:ascii="黑体" w:hAnsi="黑体" w:eastAsia="黑体" w:cs="Times New Roman"/>
          <w:b/>
          <w:bCs/>
          <w:sz w:val="44"/>
          <w:szCs w:val="44"/>
          <w14:ligatures w14:val="standardContextual"/>
        </w:rPr>
        <w:t>（2025年下半年）</w:t>
      </w:r>
    </w:p>
    <w:p w14:paraId="0652FA8C">
      <w:pPr>
        <w:spacing w:line="360" w:lineRule="auto"/>
        <w:jc w:val="center"/>
        <w:rPr>
          <w:rFonts w:ascii="Times New Roman" w:hAnsi="Times New Roman" w:eastAsia="方正仿宋_GB2312" w:cs="Times New Roman"/>
          <w:sz w:val="40"/>
          <w:szCs w:val="40"/>
          <w14:ligatures w14:val="standardContextual"/>
        </w:rPr>
      </w:pPr>
    </w:p>
    <w:p w14:paraId="3862752C">
      <w:pPr>
        <w:spacing w:line="360" w:lineRule="auto"/>
        <w:jc w:val="center"/>
        <w:rPr>
          <w:rFonts w:ascii="Times New Roman" w:hAnsi="Times New Roman" w:eastAsia="方正仿宋_GB2312" w:cs="Times New Roman"/>
          <w:sz w:val="40"/>
          <w:szCs w:val="40"/>
          <w14:ligatures w14:val="standardContextual"/>
        </w:rPr>
      </w:pPr>
    </w:p>
    <w:p w14:paraId="47D43F11">
      <w:pPr>
        <w:spacing w:line="360" w:lineRule="auto"/>
        <w:jc w:val="center"/>
        <w:rPr>
          <w:rFonts w:ascii="Times New Roman" w:hAnsi="Times New Roman" w:eastAsia="方正仿宋_GB2312" w:cs="Times New Roman"/>
          <w:sz w:val="40"/>
          <w:szCs w:val="40"/>
          <w14:ligatures w14:val="standardContextual"/>
        </w:rPr>
      </w:pPr>
    </w:p>
    <w:p w14:paraId="348454EE">
      <w:pPr>
        <w:spacing w:line="360" w:lineRule="auto"/>
        <w:jc w:val="center"/>
        <w:rPr>
          <w:rFonts w:ascii="Times New Roman" w:hAnsi="Times New Roman" w:eastAsia="方正仿宋_GB2312" w:cs="Times New Roman"/>
          <w:sz w:val="40"/>
          <w:szCs w:val="40"/>
          <w14:ligatures w14:val="standardContextual"/>
        </w:rPr>
      </w:pPr>
    </w:p>
    <w:p w14:paraId="7965352C">
      <w:pPr>
        <w:spacing w:before="100" w:beforeAutospacing="1" w:after="100" w:afterAutospacing="1" w:line="480" w:lineRule="auto"/>
        <w:ind w:firstLine="1844" w:firstLineChars="574"/>
        <w:rPr>
          <w:rFonts w:hint="eastAsia" w:ascii="黑体" w:hAnsi="黑体" w:eastAsia="黑体" w:cs="Cambria"/>
          <w:b/>
          <w:bCs/>
          <w:sz w:val="32"/>
          <w:szCs w:val="32"/>
          <w:u w:val="single"/>
          <w14:ligatures w14:val="standardContextual"/>
        </w:rPr>
      </w:pPr>
      <w:r>
        <w:rPr>
          <w:rFonts w:hint="eastAsia" w:ascii="黑体" w:hAnsi="黑体" w:eastAsia="黑体" w:cs="Times New Roman"/>
          <w:b/>
          <w:bCs/>
          <w:sz w:val="32"/>
          <w:szCs w:val="32"/>
          <w:u w:val="single"/>
          <w14:ligatures w14:val="standardContextual"/>
        </w:rPr>
        <w:t>岗位：</w:t>
      </w:r>
      <w:r>
        <w:rPr>
          <w:rFonts w:hint="eastAsia" w:ascii="黑体" w:hAnsi="黑体" w:eastAsia="黑体" w:cs="Cambria"/>
          <w:b/>
          <w:bCs/>
          <w:sz w:val="32"/>
          <w:szCs w:val="32"/>
          <w:u w:val="single"/>
          <w14:ligatures w14:val="standardContextual"/>
        </w:rPr>
        <w:t xml:space="preserve">          </w:t>
      </w:r>
      <w:r>
        <w:rPr>
          <w:rFonts w:hint="eastAsia" w:ascii="黑体" w:hAnsi="黑体" w:eastAsia="黑体" w:cs="Cambria"/>
          <w:b/>
          <w:bCs/>
          <w:sz w:val="32"/>
          <w:szCs w:val="32"/>
          <w:u w:val="single"/>
          <w:lang w:val="en-US" w:eastAsia="zh-CN"/>
          <w14:ligatures w14:val="standardContextual"/>
        </w:rPr>
        <w:t>运维研发DE</w:t>
      </w:r>
      <w:r>
        <w:rPr>
          <w:rFonts w:hint="eastAsia" w:ascii="黑体" w:hAnsi="黑体" w:eastAsia="黑体" w:cs="Cambria"/>
          <w:b/>
          <w:bCs/>
          <w:sz w:val="32"/>
          <w:szCs w:val="32"/>
          <w:u w:val="single"/>
          <w14:ligatures w14:val="standardContextual"/>
        </w:rPr>
        <w:t xml:space="preserve">              </w:t>
      </w:r>
    </w:p>
    <w:p w14:paraId="53BAFB90">
      <w:pPr>
        <w:spacing w:before="100" w:beforeAutospacing="1" w:after="100" w:afterAutospacing="1" w:line="480" w:lineRule="auto"/>
        <w:ind w:firstLine="1844" w:firstLineChars="574"/>
        <w:rPr>
          <w:rFonts w:hint="eastAsia" w:ascii="黑体" w:hAnsi="黑体" w:eastAsia="黑体" w:cs="宋体"/>
          <w:b/>
          <w:bCs/>
          <w:sz w:val="32"/>
          <w:szCs w:val="32"/>
          <w:u w:val="single"/>
          <w14:ligatures w14:val="standardContextual"/>
        </w:rPr>
      </w:pPr>
      <w:r>
        <w:rPr>
          <w:rFonts w:hint="eastAsia" w:ascii="黑体" w:hAnsi="黑体" w:eastAsia="黑体" w:cs="Cambria"/>
          <w:b/>
          <w:bCs/>
          <w:sz w:val="32"/>
          <w:szCs w:val="32"/>
          <w:u w:val="single"/>
          <w14:ligatures w14:val="standardContextual"/>
        </w:rPr>
        <w:t>职级：</w:t>
      </w:r>
      <w:r>
        <w:rPr>
          <w:rFonts w:hint="eastAsia" w:ascii="黑体" w:hAnsi="黑体" w:eastAsia="黑体" w:cs="宋体"/>
          <w:b/>
          <w:bCs/>
          <w:sz w:val="32"/>
          <w:szCs w:val="32"/>
          <w:u w:val="single"/>
          <w14:ligatures w14:val="standardContextual"/>
        </w:rPr>
        <w:t xml:space="preserve">          专员一级(T4)             </w:t>
      </w:r>
    </w:p>
    <w:p w14:paraId="7CA19B61">
      <w:pPr>
        <w:spacing w:before="100" w:beforeAutospacing="1" w:after="100" w:afterAutospacing="1" w:line="480" w:lineRule="auto"/>
        <w:ind w:firstLine="1844" w:firstLineChars="574"/>
        <w:rPr>
          <w:rFonts w:hint="eastAsia" w:ascii="黑体" w:hAnsi="黑体" w:eastAsia="黑体" w:cs="Times New Roman"/>
          <w:b/>
          <w:bCs/>
          <w:sz w:val="32"/>
          <w:szCs w:val="32"/>
          <w:u w:val="single"/>
          <w14:ligatures w14:val="standardContextual"/>
        </w:rPr>
      </w:pPr>
      <w:r>
        <w:rPr>
          <w:rFonts w:hint="eastAsia" w:ascii="黑体" w:hAnsi="黑体" w:eastAsia="黑体" w:cs="Cambria"/>
          <w:b/>
          <w:bCs/>
          <w:sz w:val="32"/>
          <w:szCs w:val="32"/>
          <w:u w:val="single"/>
          <w14:ligatures w14:val="standardContextual"/>
        </w:rPr>
        <w:t>责任人：</w:t>
      </w:r>
      <w:r>
        <w:rPr>
          <w:rFonts w:hint="eastAsia" w:ascii="黑体" w:hAnsi="黑体" w:eastAsia="黑体" w:cs="宋体"/>
          <w:b/>
          <w:bCs/>
          <w:sz w:val="32"/>
          <w:szCs w:val="32"/>
          <w:u w:val="single"/>
          <w14:ligatures w14:val="standardContextual"/>
        </w:rPr>
        <w:t xml:space="preserve">         </w:t>
      </w:r>
      <w:r>
        <w:rPr>
          <w:rFonts w:hint="eastAsia" w:ascii="黑体" w:hAnsi="黑体" w:eastAsia="黑体" w:cs="宋体"/>
          <w:b/>
          <w:bCs/>
          <w:sz w:val="32"/>
          <w:szCs w:val="32"/>
          <w:u w:val="single"/>
          <w:lang w:val="en-US" w:eastAsia="zh-CN"/>
          <w14:ligatures w14:val="standardContextual"/>
        </w:rPr>
        <w:t>董士杰</w:t>
      </w:r>
      <w:r>
        <w:rPr>
          <w:rFonts w:hint="eastAsia" w:ascii="黑体" w:hAnsi="黑体" w:eastAsia="黑体" w:cs="宋体"/>
          <w:b/>
          <w:bCs/>
          <w:sz w:val="32"/>
          <w:szCs w:val="32"/>
          <w:u w:val="single"/>
          <w14:ligatures w14:val="standardContextual"/>
        </w:rPr>
        <w:t xml:space="preserve">              </w:t>
      </w:r>
    </w:p>
    <w:p w14:paraId="0D0E6767">
      <w:pPr>
        <w:spacing w:before="100" w:beforeAutospacing="1" w:after="100" w:afterAutospacing="1" w:line="480" w:lineRule="auto"/>
        <w:ind w:firstLine="1844" w:firstLineChars="574"/>
        <w:rPr>
          <w:rFonts w:ascii="Cambria" w:hAnsi="Cambria" w:eastAsia="方正仿宋_GB2312" w:cs="Times New Roman"/>
          <w:sz w:val="40"/>
          <w:szCs w:val="40"/>
          <w:u w:val="single"/>
          <w14:ligatures w14:val="standardContextual"/>
        </w:rPr>
      </w:pPr>
      <w:r>
        <w:rPr>
          <w:rFonts w:hint="eastAsia" w:ascii="黑体" w:hAnsi="黑体" w:eastAsia="黑体" w:cs="Cambria"/>
          <w:b/>
          <w:bCs/>
          <w:sz w:val="32"/>
          <w:szCs w:val="32"/>
          <w:u w:val="single"/>
          <w14:ligatures w14:val="standardContextual"/>
        </w:rPr>
        <w:t xml:space="preserve">签订时间：                      </w:t>
      </w:r>
    </w:p>
    <w:p w14:paraId="475199A1">
      <w:pPr>
        <w:spacing w:line="360" w:lineRule="auto"/>
        <w:jc w:val="center"/>
        <w:rPr>
          <w:rFonts w:ascii="Times New Roman" w:hAnsi="Times New Roman" w:eastAsia="方正仿宋_GB2312" w:cs="Times New Roman"/>
          <w:sz w:val="32"/>
          <w:szCs w:val="32"/>
          <w14:ligatures w14:val="standardContextual"/>
        </w:rPr>
      </w:pPr>
    </w:p>
    <w:p w14:paraId="751397C7">
      <w:pPr>
        <w:spacing w:line="360" w:lineRule="auto"/>
        <w:jc w:val="center"/>
        <w:rPr>
          <w:rFonts w:ascii="Times New Roman" w:hAnsi="Times New Roman" w:eastAsia="方正仿宋_GB2312" w:cs="Times New Roman"/>
          <w:sz w:val="32"/>
          <w:szCs w:val="32"/>
          <w14:ligatures w14:val="standardContextual"/>
        </w:rPr>
      </w:pPr>
      <w:r>
        <w:rPr>
          <w:rFonts w:hint="eastAsia" w:ascii="Times New Roman" w:hAnsi="Times New Roman" w:eastAsia="方正仿宋_GB2312" w:cs="Times New Roman"/>
          <w:sz w:val="32"/>
          <w:szCs w:val="32"/>
          <w14:ligatures w14:val="standardContextual"/>
        </w:rPr>
        <w:t xml:space="preserve"> </w:t>
      </w:r>
    </w:p>
    <w:p w14:paraId="3DAE0BD5">
      <w:pPr>
        <w:spacing w:line="360" w:lineRule="auto"/>
        <w:jc w:val="center"/>
        <w:rPr>
          <w:rFonts w:ascii="Times New Roman" w:hAnsi="Times New Roman" w:eastAsia="方正仿宋_GB2312" w:cs="Times New Roman"/>
          <w:sz w:val="32"/>
          <w:szCs w:val="32"/>
        </w:rPr>
        <w:sectPr>
          <w:headerReference r:id="rId3" w:type="default"/>
          <w:footerReference r:id="rId4" w:type="default"/>
          <w:pgSz w:w="11906" w:h="16838"/>
          <w:pgMar w:top="1440" w:right="1800" w:bottom="1440" w:left="1800" w:header="851" w:footer="646" w:gutter="0"/>
          <w:cols w:space="425" w:num="1"/>
          <w:docGrid w:type="lines" w:linePitch="312" w:charSpace="0"/>
        </w:sectPr>
      </w:pPr>
      <w:r>
        <w:rPr>
          <w:rFonts w:ascii="黑体" w:hAnsi="黑体" w:eastAsia="黑体" w:cs="Cambria"/>
          <w:b/>
          <w:bCs/>
          <w:sz w:val="32"/>
          <w:szCs w:val="32"/>
          <w14:ligatures w14:val="standardContextual"/>
        </w:rPr>
        <w:t>新疆青卫舜源信息科技</w:t>
      </w:r>
      <w:r>
        <w:rPr>
          <w:rFonts w:hint="eastAsia" w:ascii="黑体" w:hAnsi="黑体" w:eastAsia="黑体" w:cs="Cambria"/>
          <w:b/>
          <w:bCs/>
          <w:sz w:val="32"/>
          <w:szCs w:val="32"/>
          <w14:ligatures w14:val="standardContextual"/>
        </w:rPr>
        <w:t>有限公司（公章）</w:t>
      </w:r>
    </w:p>
    <w:sdt>
      <w:sdtPr>
        <w:rPr>
          <w:rFonts w:ascii="Times New Roman" w:hAnsi="Times New Roman" w:eastAsia="宋体" w:cs="Times New Roman"/>
          <w:sz w:val="40"/>
          <w:szCs w:val="48"/>
        </w:rPr>
        <w:id w:val="147454275"/>
        <w15:color w:val="DBDBDB"/>
        <w:docPartObj>
          <w:docPartGallery w:val="Table of Contents"/>
          <w:docPartUnique/>
        </w:docPartObj>
      </w:sdtPr>
      <w:sdtEndPr>
        <w:rPr>
          <w:rFonts w:ascii="Times New Roman" w:hAnsi="Times New Roman" w:eastAsia="方正仿宋_GB2312" w:cs="Times New Roman"/>
          <w:bCs/>
          <w:sz w:val="24"/>
          <w:szCs w:val="24"/>
          <w:highlight w:val="yellow"/>
          <w14:ligatures w14:val="standardContextual"/>
        </w:rPr>
      </w:sdtEndPr>
      <w:sdtContent>
        <w:p w14:paraId="5908C232">
          <w:pPr>
            <w:jc w:val="center"/>
            <w:rPr>
              <w:rFonts w:hint="eastAsia" w:ascii="黑体" w:hAnsi="黑体" w:eastAsia="黑体" w:cs="Times New Roman"/>
              <w:b/>
              <w:bCs/>
              <w:sz w:val="28"/>
              <w:szCs w:val="36"/>
            </w:rPr>
          </w:pPr>
          <w:r>
            <w:rPr>
              <w:rFonts w:ascii="黑体" w:hAnsi="黑体" w:eastAsia="黑体" w:cs="Times New Roman"/>
              <w:b/>
              <w:bCs/>
              <w:sz w:val="40"/>
              <w:szCs w:val="48"/>
            </w:rPr>
            <w:t>目录</w:t>
          </w:r>
        </w:p>
        <w:p w14:paraId="400ECD82">
          <w:pPr>
            <w:pStyle w:val="6"/>
            <w:tabs>
              <w:tab w:val="right" w:leader="dot" w:pos="8306"/>
            </w:tabs>
            <w:spacing w:line="560" w:lineRule="exact"/>
            <w:rPr>
              <w:rFonts w:ascii="Times New Roman" w:hAnsi="Times New Roman" w:cs="Times New Roman"/>
              <w:sz w:val="24"/>
            </w:rPr>
          </w:pPr>
          <w:r>
            <w:rPr>
              <w:rFonts w:ascii="Times New Roman" w:hAnsi="Times New Roman" w:eastAsia="方正仿宋_GB2312" w:cs="Times New Roman"/>
              <w:bCs/>
              <w:sz w:val="24"/>
              <w14:ligatures w14:val="standardContextual"/>
            </w:rPr>
            <w:fldChar w:fldCharType="begin"/>
          </w:r>
          <w:r>
            <w:rPr>
              <w:rFonts w:ascii="Times New Roman" w:hAnsi="Times New Roman" w:eastAsia="方正仿宋_GB2312" w:cs="Times New Roman"/>
              <w:bCs/>
              <w:sz w:val="24"/>
              <w14:ligatures w14:val="standardContextual"/>
            </w:rPr>
            <w:instrText xml:space="preserve">TOC \o "1-3" \h \u </w:instrText>
          </w:r>
          <w:r>
            <w:rPr>
              <w:rFonts w:ascii="Times New Roman" w:hAnsi="Times New Roman" w:eastAsia="方正仿宋_GB2312" w:cs="Times New Roman"/>
              <w:bCs/>
              <w:sz w:val="24"/>
              <w14:ligatures w14:val="standardContextual"/>
            </w:rPr>
            <w:fldChar w:fldCharType="separate"/>
          </w:r>
          <w:r>
            <w:fldChar w:fldCharType="begin"/>
          </w:r>
          <w:r>
            <w:instrText xml:space="preserve"> HYPERLINK \l "_Toc24420" </w:instrText>
          </w:r>
          <w:r>
            <w:fldChar w:fldCharType="separate"/>
          </w:r>
          <w:r>
            <w:rPr>
              <w:rFonts w:ascii="Times New Roman" w:hAnsi="Times New Roman" w:eastAsia="方正仿宋_GB2312" w:cs="Times New Roman"/>
              <w:bCs/>
              <w:sz w:val="24"/>
              <w14:ligatures w14:val="standardContextual"/>
            </w:rPr>
            <w:t>一、</w:t>
          </w:r>
          <w:r>
            <w:rPr>
              <w:rFonts w:hint="eastAsia" w:ascii="Times New Roman" w:hAnsi="Times New Roman" w:eastAsia="方正仿宋_GB2312" w:cs="Times New Roman"/>
              <w:bCs/>
              <w:sz w:val="24"/>
              <w14:ligatures w14:val="standardContextual"/>
            </w:rPr>
            <w:t>岗位</w:t>
          </w:r>
          <w:r>
            <w:rPr>
              <w:rFonts w:ascii="Times New Roman" w:hAnsi="Times New Roman" w:eastAsia="方正仿宋_GB2312" w:cs="Times New Roman"/>
              <w:bCs/>
              <w:sz w:val="24"/>
              <w14:ligatures w14:val="standardContextual"/>
            </w:rPr>
            <w:t>说明</w:t>
          </w:r>
          <w:r>
            <w:rPr>
              <w:rFonts w:ascii="Times New Roman" w:hAnsi="Times New Roman" w:cs="Times New Roman"/>
              <w:sz w:val="24"/>
            </w:rPr>
            <w:tab/>
          </w:r>
          <w:r>
            <w:rPr>
              <w:rFonts w:hint="eastAsia" w:ascii="Times New Roman" w:hAnsi="Times New Roman" w:cs="Times New Roman"/>
              <w:sz w:val="24"/>
            </w:rPr>
            <w:t>1</w:t>
          </w:r>
          <w:r>
            <w:rPr>
              <w:rFonts w:hint="eastAsia" w:ascii="Times New Roman" w:hAnsi="Times New Roman" w:cs="Times New Roman"/>
              <w:sz w:val="24"/>
            </w:rPr>
            <w:fldChar w:fldCharType="end"/>
          </w:r>
        </w:p>
        <w:p w14:paraId="12EEC9CC">
          <w:pPr>
            <w:pStyle w:val="6"/>
            <w:tabs>
              <w:tab w:val="right" w:leader="dot" w:pos="8306"/>
            </w:tabs>
            <w:spacing w:line="560" w:lineRule="exact"/>
            <w:rPr>
              <w:rFonts w:ascii="Times New Roman" w:hAnsi="Times New Roman" w:cs="Times New Roman"/>
              <w:sz w:val="24"/>
            </w:rPr>
          </w:pPr>
          <w:r>
            <w:fldChar w:fldCharType="begin"/>
          </w:r>
          <w:r>
            <w:instrText xml:space="preserve"> HYPERLINK \l "_Toc18111" </w:instrText>
          </w:r>
          <w:r>
            <w:fldChar w:fldCharType="separate"/>
          </w:r>
          <w:r>
            <w:rPr>
              <w:rFonts w:ascii="Times New Roman" w:hAnsi="Times New Roman" w:eastAsia="方正仿宋_GB2312" w:cs="Times New Roman"/>
              <w:bCs/>
              <w:sz w:val="24"/>
              <w14:ligatures w14:val="standardContextual"/>
            </w:rPr>
            <w:t>二、岗位定位</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_Toc18111 \h </w:instrText>
          </w:r>
          <w:r>
            <w:rPr>
              <w:rFonts w:ascii="Times New Roman" w:hAnsi="Times New Roman" w:cs="Times New Roman"/>
              <w:sz w:val="24"/>
            </w:rPr>
            <w:fldChar w:fldCharType="separate"/>
          </w:r>
          <w:r>
            <w:rPr>
              <w:rFonts w:ascii="Times New Roman" w:hAnsi="Times New Roman" w:cs="Times New Roman"/>
              <w:sz w:val="24"/>
            </w:rPr>
            <w:t>2</w:t>
          </w:r>
          <w:r>
            <w:rPr>
              <w:rFonts w:ascii="Times New Roman" w:hAnsi="Times New Roman" w:cs="Times New Roman"/>
              <w:sz w:val="24"/>
            </w:rPr>
            <w:fldChar w:fldCharType="end"/>
          </w:r>
          <w:r>
            <w:rPr>
              <w:rFonts w:ascii="Times New Roman" w:hAnsi="Times New Roman" w:cs="Times New Roman"/>
              <w:sz w:val="24"/>
            </w:rPr>
            <w:fldChar w:fldCharType="end"/>
          </w:r>
        </w:p>
        <w:p w14:paraId="6DC05B37">
          <w:pPr>
            <w:pStyle w:val="6"/>
            <w:tabs>
              <w:tab w:val="right" w:leader="dot" w:pos="8306"/>
            </w:tabs>
            <w:spacing w:line="560" w:lineRule="exact"/>
            <w:rPr>
              <w:rFonts w:ascii="Times New Roman" w:hAnsi="Times New Roman" w:cs="Times New Roman"/>
              <w:sz w:val="24"/>
            </w:rPr>
          </w:pPr>
          <w:r>
            <w:fldChar w:fldCharType="begin"/>
          </w:r>
          <w:r>
            <w:instrText xml:space="preserve"> HYPERLINK \l "_Toc1305" </w:instrText>
          </w:r>
          <w:r>
            <w:fldChar w:fldCharType="separate"/>
          </w:r>
          <w:r>
            <w:rPr>
              <w:rFonts w:ascii="Times New Roman" w:hAnsi="Times New Roman" w:eastAsia="方正仿宋_GB2312" w:cs="Times New Roman"/>
              <w:bCs/>
              <w:sz w:val="24"/>
              <w14:ligatures w14:val="standardContextual"/>
            </w:rPr>
            <w:t>三、岗位职责</w:t>
          </w:r>
          <w:r>
            <w:rPr>
              <w:rFonts w:ascii="Times New Roman" w:hAnsi="Times New Roman" w:cs="Times New Roman"/>
              <w:sz w:val="24"/>
            </w:rPr>
            <w:tab/>
          </w:r>
          <w:r>
            <w:rPr>
              <w:rFonts w:hint="eastAsia" w:ascii="Times New Roman" w:hAnsi="Times New Roman" w:cs="Times New Roman"/>
              <w:sz w:val="24"/>
            </w:rPr>
            <w:t>2</w:t>
          </w:r>
          <w:r>
            <w:rPr>
              <w:rFonts w:hint="eastAsia" w:ascii="Times New Roman" w:hAnsi="Times New Roman" w:cs="Times New Roman"/>
              <w:sz w:val="24"/>
            </w:rPr>
            <w:fldChar w:fldCharType="end"/>
          </w:r>
        </w:p>
        <w:p w14:paraId="07785175">
          <w:pPr>
            <w:pStyle w:val="6"/>
            <w:tabs>
              <w:tab w:val="right" w:leader="dot" w:pos="8306"/>
            </w:tabs>
            <w:spacing w:line="560" w:lineRule="exact"/>
            <w:rPr>
              <w:rFonts w:ascii="Times New Roman" w:hAnsi="Times New Roman" w:cs="Times New Roman"/>
              <w:sz w:val="24"/>
            </w:rPr>
          </w:pPr>
          <w:r>
            <w:fldChar w:fldCharType="begin"/>
          </w:r>
          <w:r>
            <w:instrText xml:space="preserve"> HYPERLINK \l "_Toc29376" </w:instrText>
          </w:r>
          <w:r>
            <w:fldChar w:fldCharType="separate"/>
          </w:r>
          <w:r>
            <w:rPr>
              <w:rFonts w:ascii="Times New Roman" w:hAnsi="Times New Roman" w:eastAsia="方正仿宋_GB2312" w:cs="Times New Roman"/>
              <w:bCs/>
              <w:sz w:val="24"/>
              <w14:ligatures w14:val="standardContextual"/>
            </w:rPr>
            <w:t>四、岗位职权</w:t>
          </w:r>
          <w:r>
            <w:rPr>
              <w:rFonts w:ascii="Times New Roman" w:hAnsi="Times New Roman" w:cs="Times New Roman"/>
              <w:sz w:val="24"/>
            </w:rPr>
            <w:tab/>
          </w:r>
          <w:r>
            <w:rPr>
              <w:rFonts w:hint="eastAsia" w:ascii="Times New Roman" w:hAnsi="Times New Roman" w:cs="Times New Roman"/>
              <w:sz w:val="24"/>
            </w:rPr>
            <w:t>2</w:t>
          </w:r>
          <w:r>
            <w:rPr>
              <w:rFonts w:hint="eastAsia" w:ascii="Times New Roman" w:hAnsi="Times New Roman" w:cs="Times New Roman"/>
              <w:sz w:val="24"/>
            </w:rPr>
            <w:fldChar w:fldCharType="end"/>
          </w:r>
        </w:p>
        <w:p w14:paraId="2DD9AE60">
          <w:pPr>
            <w:pStyle w:val="6"/>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"_Toc24025" </w:instrText>
          </w:r>
          <w:r>
            <w:fldChar w:fldCharType="separate"/>
          </w:r>
          <w:r>
            <w:rPr>
              <w:rFonts w:ascii="Times New Roman" w:hAnsi="Times New Roman" w:eastAsia="方正仿宋_GB2312" w:cs="Times New Roman"/>
              <w:bCs/>
              <w:sz w:val="24"/>
              <w:highlight w:val="yellow"/>
              <w14:ligatures w14:val="standardContextual"/>
            </w:rPr>
            <w:t>五、关键</w:t>
          </w:r>
          <w:r>
            <w:rPr>
              <w:rFonts w:hint="eastAsia" w:ascii="Times New Roman" w:hAnsi="Times New Roman" w:eastAsia="方正仿宋_GB2312" w:cs="Times New Roman"/>
              <w:bCs/>
              <w:sz w:val="24"/>
              <w:highlight w:val="yellow"/>
              <w14:ligatures w14:val="standardContextual"/>
            </w:rPr>
            <w:t>指标</w:t>
          </w:r>
          <w:r>
            <w:rPr>
              <w:rFonts w:ascii="Times New Roman" w:hAnsi="Times New Roman" w:eastAsia="方正仿宋_GB2312" w:cs="Times New Roman"/>
              <w:bCs/>
              <w:sz w:val="24"/>
              <w:highlight w:val="yellow"/>
              <w14:ligatures w14:val="standardContextual"/>
            </w:rPr>
            <w:t>及考核标准</w:t>
          </w:r>
          <w:r>
            <w:rPr>
              <w:rFonts w:ascii="Times New Roman" w:hAnsi="Times New Roman" w:cs="Times New Roman"/>
              <w:sz w:val="24"/>
              <w:highlight w:val="yellow"/>
            </w:rPr>
            <w:tab/>
          </w:r>
          <w:r>
            <w:rPr>
              <w:rFonts w:hint="eastAsia" w:ascii="Times New Roman" w:hAnsi="Times New Roman" w:cs="Times New Roman"/>
              <w:sz w:val="24"/>
              <w:highlight w:val="yellow"/>
            </w:rPr>
            <w:t>3</w:t>
          </w:r>
          <w:r>
            <w:rPr>
              <w:rFonts w:hint="eastAsia" w:ascii="Times New Roman" w:hAnsi="Times New Roman" w:cs="Times New Roman"/>
              <w:sz w:val="24"/>
              <w:highlight w:val="yellow"/>
            </w:rPr>
            <w:fldChar w:fldCharType="end"/>
          </w:r>
        </w:p>
        <w:p w14:paraId="13036D8C">
          <w:pPr>
            <w:pStyle w:val="7"/>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"_Toc13777" </w:instrText>
          </w:r>
          <w:r>
            <w:fldChar w:fldCharType="separate"/>
          </w:r>
          <w:r>
            <w:rPr>
              <w:rFonts w:ascii="Times New Roman" w:hAnsi="Times New Roman" w:eastAsia="方正仿宋_GB2312" w:cs="Times New Roman"/>
              <w:bCs/>
              <w:sz w:val="24"/>
              <w:highlight w:val="yellow"/>
            </w:rPr>
            <w:t>5.1跨部门协作（权重40%）</w:t>
          </w:r>
          <w:r>
            <w:rPr>
              <w:rFonts w:ascii="Times New Roman" w:hAnsi="Times New Roman" w:cs="Times New Roman"/>
              <w:sz w:val="24"/>
              <w:highlight w:val="yellow"/>
            </w:rPr>
            <w:tab/>
          </w:r>
          <w:r>
            <w:rPr>
              <w:rFonts w:hint="eastAsia" w:ascii="Times New Roman" w:hAnsi="Times New Roman" w:cs="Times New Roman"/>
              <w:sz w:val="24"/>
              <w:highlight w:val="yellow"/>
            </w:rPr>
            <w:t>3</w:t>
          </w:r>
          <w:r>
            <w:rPr>
              <w:rFonts w:hint="eastAsia" w:ascii="Times New Roman" w:hAnsi="Times New Roman" w:cs="Times New Roman"/>
              <w:sz w:val="24"/>
              <w:highlight w:val="yellow"/>
            </w:rPr>
            <w:fldChar w:fldCharType="end"/>
          </w:r>
        </w:p>
        <w:p w14:paraId="058E5114">
          <w:pPr>
            <w:pStyle w:val="3"/>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"_Toc460" </w:instrText>
          </w:r>
          <w:r>
            <w:fldChar w:fldCharType="separate"/>
          </w:r>
          <w:r>
            <w:rPr>
              <w:rFonts w:ascii="Times New Roman" w:hAnsi="Times New Roman" w:eastAsia="方正仿宋_GB2312" w:cs="Times New Roman"/>
              <w:sz w:val="24"/>
              <w:highlight w:val="yellow"/>
            </w:rPr>
            <w:t>5.1.1关键动作：</w:t>
          </w:r>
          <w:r>
            <w:rPr>
              <w:rFonts w:ascii="Times New Roman" w:hAnsi="Times New Roman" w:cs="Times New Roman"/>
              <w:sz w:val="24"/>
              <w:highlight w:val="yellow"/>
            </w:rPr>
            <w:tab/>
          </w:r>
          <w:r>
            <w:rPr>
              <w:rFonts w:hint="eastAsia" w:ascii="Times New Roman" w:hAnsi="Times New Roman" w:cs="Times New Roman"/>
              <w:sz w:val="24"/>
              <w:highlight w:val="yellow"/>
            </w:rPr>
            <w:t>3</w:t>
          </w:r>
          <w:r>
            <w:rPr>
              <w:rFonts w:hint="eastAsia" w:ascii="Times New Roman" w:hAnsi="Times New Roman" w:cs="Times New Roman"/>
              <w:sz w:val="24"/>
              <w:highlight w:val="yellow"/>
            </w:rPr>
            <w:fldChar w:fldCharType="end"/>
          </w:r>
        </w:p>
        <w:p w14:paraId="3FC92F1A">
          <w:pPr>
            <w:pStyle w:val="3"/>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"_Toc802" </w:instrText>
          </w:r>
          <w:r>
            <w:fldChar w:fldCharType="separate"/>
          </w:r>
          <w:r>
            <w:rPr>
              <w:rFonts w:ascii="Times New Roman" w:hAnsi="Times New Roman" w:eastAsia="方正仿宋_GB2312" w:cs="Times New Roman"/>
              <w:sz w:val="24"/>
              <w:highlight w:val="yellow"/>
            </w:rPr>
            <w:t>5.1.2考核标准：</w:t>
          </w:r>
          <w:r>
            <w:rPr>
              <w:rFonts w:ascii="Times New Roman" w:hAnsi="Times New Roman" w:cs="Times New Roman"/>
              <w:sz w:val="24"/>
              <w:highlight w:val="yellow"/>
            </w:rPr>
            <w:tab/>
          </w:r>
          <w:r>
            <w:rPr>
              <w:rFonts w:hint="eastAsia" w:ascii="Times New Roman" w:hAnsi="Times New Roman" w:cs="Times New Roman"/>
              <w:sz w:val="24"/>
              <w:highlight w:val="yellow"/>
            </w:rPr>
            <w:t>4</w:t>
          </w:r>
          <w:r>
            <w:rPr>
              <w:rFonts w:hint="eastAsia" w:ascii="Times New Roman" w:hAnsi="Times New Roman" w:cs="Times New Roman"/>
              <w:sz w:val="24"/>
              <w:highlight w:val="yellow"/>
            </w:rPr>
            <w:fldChar w:fldCharType="end"/>
          </w:r>
        </w:p>
        <w:p w14:paraId="2420D32F">
          <w:pPr>
            <w:pStyle w:val="7"/>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"_Toc27776" </w:instrText>
          </w:r>
          <w:r>
            <w:fldChar w:fldCharType="separate"/>
          </w:r>
          <w:r>
            <w:rPr>
              <w:rFonts w:ascii="Times New Roman" w:hAnsi="Times New Roman" w:eastAsia="方正仿宋_GB2312" w:cs="Times New Roman"/>
              <w:bCs/>
              <w:sz w:val="24"/>
              <w:highlight w:val="yellow"/>
            </w:rPr>
            <w:t>5.2团队管理与协作（权重30%）</w:t>
          </w:r>
          <w:r>
            <w:rPr>
              <w:rFonts w:ascii="Times New Roman" w:hAnsi="Times New Roman" w:cs="Times New Roman"/>
              <w:sz w:val="24"/>
              <w:highlight w:val="yellow"/>
            </w:rPr>
            <w:tab/>
          </w:r>
          <w:r>
            <w:rPr>
              <w:rFonts w:hint="eastAsia" w:ascii="Times New Roman" w:hAnsi="Times New Roman" w:cs="Times New Roman"/>
              <w:sz w:val="24"/>
              <w:highlight w:val="yellow"/>
            </w:rPr>
            <w:t>4</w:t>
          </w:r>
          <w:r>
            <w:rPr>
              <w:rFonts w:hint="eastAsia" w:ascii="Times New Roman" w:hAnsi="Times New Roman" w:cs="Times New Roman"/>
              <w:sz w:val="24"/>
              <w:highlight w:val="yellow"/>
            </w:rPr>
            <w:fldChar w:fldCharType="end"/>
          </w:r>
        </w:p>
        <w:p w14:paraId="1A528AA4">
          <w:pPr>
            <w:pStyle w:val="3"/>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"_Toc20663" </w:instrText>
          </w:r>
          <w:r>
            <w:fldChar w:fldCharType="separate"/>
          </w:r>
          <w:r>
            <w:rPr>
              <w:rFonts w:ascii="Times New Roman" w:hAnsi="Times New Roman" w:eastAsia="方正仿宋_GB2312" w:cs="Times New Roman"/>
              <w:sz w:val="24"/>
              <w:highlight w:val="yellow"/>
            </w:rPr>
            <w:t>5.2.1关键动作：</w:t>
          </w:r>
          <w:r>
            <w:rPr>
              <w:rFonts w:ascii="Times New Roman" w:hAnsi="Times New Roman" w:cs="Times New Roman"/>
              <w:sz w:val="24"/>
              <w:highlight w:val="yellow"/>
            </w:rPr>
            <w:tab/>
          </w:r>
          <w:r>
            <w:rPr>
              <w:rFonts w:hint="eastAsia" w:ascii="Times New Roman" w:hAnsi="Times New Roman" w:cs="Times New Roman"/>
              <w:sz w:val="24"/>
              <w:highlight w:val="yellow"/>
            </w:rPr>
            <w:t>4</w:t>
          </w:r>
          <w:r>
            <w:rPr>
              <w:rFonts w:hint="eastAsia" w:ascii="Times New Roman" w:hAnsi="Times New Roman" w:cs="Times New Roman"/>
              <w:sz w:val="24"/>
              <w:highlight w:val="yellow"/>
            </w:rPr>
            <w:fldChar w:fldCharType="end"/>
          </w:r>
        </w:p>
        <w:p w14:paraId="6B9D83E0">
          <w:pPr>
            <w:pStyle w:val="3"/>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"_Toc18892" </w:instrText>
          </w:r>
          <w:r>
            <w:fldChar w:fldCharType="separate"/>
          </w:r>
          <w:r>
            <w:rPr>
              <w:rFonts w:ascii="Times New Roman" w:hAnsi="Times New Roman" w:eastAsia="方正仿宋_GB2312" w:cs="Times New Roman"/>
              <w:sz w:val="24"/>
              <w:highlight w:val="yellow"/>
            </w:rPr>
            <w:t>5.2.2考核标准：</w:t>
          </w:r>
          <w:r>
            <w:rPr>
              <w:rFonts w:ascii="Times New Roman" w:hAnsi="Times New Roman" w:cs="Times New Roman"/>
              <w:sz w:val="24"/>
              <w:highlight w:val="yellow"/>
            </w:rPr>
            <w:tab/>
          </w:r>
          <w:r>
            <w:rPr>
              <w:rFonts w:hint="eastAsia" w:ascii="Times New Roman" w:hAnsi="Times New Roman" w:cs="Times New Roman"/>
              <w:sz w:val="24"/>
              <w:highlight w:val="yellow"/>
            </w:rPr>
            <w:t>4</w:t>
          </w:r>
          <w:r>
            <w:rPr>
              <w:rFonts w:hint="eastAsia" w:ascii="Times New Roman" w:hAnsi="Times New Roman" w:cs="Times New Roman"/>
              <w:sz w:val="24"/>
              <w:highlight w:val="yellow"/>
            </w:rPr>
            <w:fldChar w:fldCharType="end"/>
          </w:r>
        </w:p>
        <w:p w14:paraId="14D92176">
          <w:pPr>
            <w:pStyle w:val="7"/>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"_Toc6480" </w:instrText>
          </w:r>
          <w:r>
            <w:fldChar w:fldCharType="separate"/>
          </w:r>
          <w:r>
            <w:rPr>
              <w:rFonts w:ascii="Times New Roman" w:hAnsi="Times New Roman" w:eastAsia="方正仿宋_GB2312" w:cs="Times New Roman"/>
              <w:bCs/>
              <w:sz w:val="24"/>
              <w:highlight w:val="yellow"/>
            </w:rPr>
            <w:t>5.3领导交办任务（权重30%）</w:t>
          </w:r>
          <w:r>
            <w:rPr>
              <w:rFonts w:ascii="Times New Roman" w:hAnsi="Times New Roman" w:cs="Times New Roman"/>
              <w:sz w:val="24"/>
              <w:highlight w:val="yellow"/>
            </w:rPr>
            <w:tab/>
          </w:r>
          <w:r>
            <w:rPr>
              <w:rFonts w:hint="eastAsia" w:ascii="Times New Roman" w:hAnsi="Times New Roman" w:cs="Times New Roman"/>
              <w:sz w:val="24"/>
              <w:highlight w:val="yellow"/>
            </w:rPr>
            <w:t>5</w:t>
          </w:r>
          <w:r>
            <w:rPr>
              <w:rFonts w:hint="eastAsia" w:ascii="Times New Roman" w:hAnsi="Times New Roman" w:cs="Times New Roman"/>
              <w:sz w:val="24"/>
              <w:highlight w:val="yellow"/>
            </w:rPr>
            <w:fldChar w:fldCharType="end"/>
          </w:r>
        </w:p>
        <w:p w14:paraId="68E573B9">
          <w:pPr>
            <w:pStyle w:val="3"/>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"_Toc13999" </w:instrText>
          </w:r>
          <w:r>
            <w:fldChar w:fldCharType="separate"/>
          </w:r>
          <w:r>
            <w:rPr>
              <w:rFonts w:ascii="Times New Roman" w:hAnsi="Times New Roman" w:eastAsia="方正仿宋_GB2312" w:cs="Times New Roman"/>
              <w:sz w:val="24"/>
              <w:highlight w:val="yellow"/>
            </w:rPr>
            <w:t>5.3.1关键动作：</w:t>
          </w:r>
          <w:r>
            <w:rPr>
              <w:rFonts w:ascii="Times New Roman" w:hAnsi="Times New Roman" w:cs="Times New Roman"/>
              <w:sz w:val="24"/>
              <w:highlight w:val="yellow"/>
            </w:rPr>
            <w:tab/>
          </w:r>
          <w:r>
            <w:rPr>
              <w:rFonts w:hint="eastAsia" w:ascii="Times New Roman" w:hAnsi="Times New Roman" w:cs="Times New Roman"/>
              <w:sz w:val="24"/>
              <w:highlight w:val="yellow"/>
            </w:rPr>
            <w:t>5</w:t>
          </w:r>
          <w:r>
            <w:rPr>
              <w:rFonts w:hint="eastAsia" w:ascii="Times New Roman" w:hAnsi="Times New Roman" w:cs="Times New Roman"/>
              <w:sz w:val="24"/>
              <w:highlight w:val="yellow"/>
            </w:rPr>
            <w:fldChar w:fldCharType="end"/>
          </w:r>
        </w:p>
        <w:p w14:paraId="45956177">
          <w:pPr>
            <w:pStyle w:val="3"/>
            <w:tabs>
              <w:tab w:val="right" w:leader="dot" w:pos="8306"/>
            </w:tabs>
            <w:spacing w:line="560" w:lineRule="exact"/>
            <w:rPr>
              <w:rFonts w:ascii="Times New Roman" w:hAnsi="Times New Roman" w:cs="Times New Roman"/>
              <w:sz w:val="24"/>
              <w:highlight w:val="yellow"/>
            </w:rPr>
          </w:pPr>
          <w:r>
            <w:fldChar w:fldCharType="begin"/>
          </w:r>
          <w:r>
            <w:instrText xml:space="preserve"> HYPERLINK \l "_Toc17982" </w:instrText>
          </w:r>
          <w:r>
            <w:fldChar w:fldCharType="separate"/>
          </w:r>
          <w:r>
            <w:rPr>
              <w:rFonts w:ascii="Times New Roman" w:hAnsi="Times New Roman" w:eastAsia="方正仿宋_GB2312" w:cs="Times New Roman"/>
              <w:sz w:val="24"/>
              <w:highlight w:val="yellow"/>
            </w:rPr>
            <w:t>5.3.2考核标准：</w:t>
          </w:r>
          <w:r>
            <w:rPr>
              <w:rFonts w:ascii="Times New Roman" w:hAnsi="Times New Roman" w:cs="Times New Roman"/>
              <w:sz w:val="24"/>
              <w:highlight w:val="yellow"/>
            </w:rPr>
            <w:tab/>
          </w:r>
          <w:r>
            <w:rPr>
              <w:rFonts w:hint="eastAsia" w:ascii="Times New Roman" w:hAnsi="Times New Roman" w:cs="Times New Roman"/>
              <w:sz w:val="24"/>
              <w:highlight w:val="yellow"/>
            </w:rPr>
            <w:t>5</w:t>
          </w:r>
          <w:r>
            <w:rPr>
              <w:rFonts w:hint="eastAsia" w:ascii="Times New Roman" w:hAnsi="Times New Roman" w:cs="Times New Roman"/>
              <w:sz w:val="24"/>
              <w:highlight w:val="yellow"/>
            </w:rPr>
            <w:fldChar w:fldCharType="end"/>
          </w:r>
        </w:p>
        <w:p w14:paraId="0EC8E33B">
          <w:pPr>
            <w:pStyle w:val="6"/>
            <w:tabs>
              <w:tab w:val="right" w:leader="dot" w:pos="8306"/>
            </w:tabs>
            <w:spacing w:line="560" w:lineRule="exact"/>
            <w:rPr>
              <w:rFonts w:ascii="Times New Roman" w:hAnsi="Times New Roman" w:cs="Times New Roman"/>
              <w:sz w:val="24"/>
            </w:rPr>
          </w:pPr>
          <w:r>
            <w:fldChar w:fldCharType="begin"/>
          </w:r>
          <w:r>
            <w:instrText xml:space="preserve"> HYPERLINK \l "_Toc32317" </w:instrText>
          </w:r>
          <w:r>
            <w:fldChar w:fldCharType="separate"/>
          </w:r>
          <w:r>
            <w:rPr>
              <w:rFonts w:ascii="Times New Roman" w:hAnsi="Times New Roman" w:eastAsia="方正仿宋_GB2312" w:cs="Times New Roman"/>
              <w:bCs/>
              <w:sz w:val="24"/>
              <w:highlight w:val="yellow"/>
              <w14:ligatures w14:val="standardContextual"/>
            </w:rPr>
            <w:t>六、晋升、降级等参考公司绩效考核制度</w:t>
          </w:r>
          <w:r>
            <w:rPr>
              <w:rFonts w:ascii="Times New Roman" w:hAnsi="Times New Roman" w:cs="Times New Roman"/>
              <w:sz w:val="24"/>
              <w:highlight w:val="yellow"/>
            </w:rPr>
            <w:tab/>
          </w:r>
          <w:r>
            <w:rPr>
              <w:rFonts w:hint="eastAsia" w:ascii="Times New Roman" w:hAnsi="Times New Roman" w:cs="Times New Roman"/>
              <w:sz w:val="24"/>
              <w:highlight w:val="yellow"/>
            </w:rPr>
            <w:t>5</w:t>
          </w:r>
          <w:r>
            <w:rPr>
              <w:rFonts w:hint="eastAsia" w:ascii="Times New Roman" w:hAnsi="Times New Roman" w:cs="Times New Roman"/>
              <w:sz w:val="24"/>
              <w:highlight w:val="yellow"/>
            </w:rPr>
            <w:fldChar w:fldCharType="end"/>
          </w:r>
        </w:p>
        <w:p w14:paraId="4BC20F79">
          <w:pPr>
            <w:pStyle w:val="6"/>
            <w:tabs>
              <w:tab w:val="right" w:leader="dot" w:pos="8306"/>
            </w:tabs>
            <w:spacing w:line="560" w:lineRule="exact"/>
            <w:rPr>
              <w:rFonts w:ascii="Times New Roman" w:hAnsi="Times New Roman" w:eastAsia="方正仿宋_GB2312" w:cs="Times New Roman"/>
              <w:bCs/>
              <w:sz w:val="24"/>
              <w:highlight w:val="yellow"/>
              <w14:ligatures w14:val="standardContextual"/>
            </w:rPr>
          </w:pPr>
          <w:r>
            <w:rPr>
              <w:rFonts w:ascii="Times New Roman" w:hAnsi="Times New Roman" w:eastAsia="方正仿宋_GB2312" w:cs="Times New Roman"/>
              <w:bCs/>
              <w:sz w:val="24"/>
              <w14:ligatures w14:val="standardContextual"/>
            </w:rPr>
            <w:fldChar w:fldCharType="end"/>
          </w:r>
          <w:r>
            <w:rPr>
              <w:rFonts w:hint="eastAsia" w:ascii="宋体" w:hAnsi="宋体" w:eastAsia="宋体" w:cs="宋体"/>
              <w:bCs/>
              <w:sz w:val="24"/>
              <w14:ligatures w14:val="standardContextual"/>
            </w:rPr>
            <w:t>七、附件：</w:t>
          </w:r>
          <w:r>
            <w:rPr>
              <w:rFonts w:hint="eastAsia" w:ascii="Times New Roman" w:hAnsi="Times New Roman" w:eastAsia="方正仿宋_GB2312" w:cs="Times New Roman"/>
              <w:bCs/>
              <w:sz w:val="24"/>
              <w:highlight w:val="yellow"/>
              <w14:ligatures w14:val="standardContextual"/>
            </w:rPr>
            <w:t>2025年下半年目标责任书</w:t>
          </w:r>
        </w:p>
      </w:sdtContent>
    </w:sdt>
    <w:p w14:paraId="6ED861E8">
      <w:pPr>
        <w:rPr>
          <w:rFonts w:ascii="Times New Roman" w:hAnsi="Times New Roman" w:cs="Times New Roman"/>
        </w:rPr>
      </w:pPr>
    </w:p>
    <w:p w14:paraId="7E30F006">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36750201">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41DAA286">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7B99D76D">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57EA6E40">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57947E9E">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76CA466A">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48FC5A9A">
      <w:pPr>
        <w:spacing w:line="560" w:lineRule="exact"/>
        <w:ind w:firstLine="560" w:firstLineChars="200"/>
        <w:jc w:val="center"/>
        <w:rPr>
          <w:rFonts w:ascii="Times New Roman" w:hAnsi="Times New Roman" w:eastAsia="方正仿宋_GB2312" w:cs="Times New Roman"/>
          <w:bCs/>
          <w:sz w:val="28"/>
          <w:szCs w:val="28"/>
          <w14:ligatures w14:val="standardContextual"/>
        </w:rPr>
        <w:sectPr>
          <w:footerReference r:id="rId5" w:type="default"/>
          <w:pgSz w:w="11906" w:h="16838"/>
          <w:pgMar w:top="1440" w:right="1800" w:bottom="1440" w:left="1800" w:header="851" w:footer="992" w:gutter="0"/>
          <w:pgNumType w:start="1"/>
          <w:cols w:space="425" w:num="1"/>
          <w:docGrid w:type="lines" w:linePitch="312" w:charSpace="0"/>
        </w:sectPr>
      </w:pPr>
    </w:p>
    <w:p w14:paraId="142C96CC">
      <w:pPr>
        <w:spacing w:line="560" w:lineRule="exact"/>
        <w:ind w:firstLine="560" w:firstLineChars="200"/>
        <w:jc w:val="center"/>
        <w:rPr>
          <w:rFonts w:ascii="Times New Roman" w:hAnsi="Times New Roman" w:eastAsia="方正仿宋_GB2312" w:cs="Times New Roman"/>
          <w:bCs/>
          <w:sz w:val="28"/>
          <w:szCs w:val="28"/>
          <w14:ligatures w14:val="standardContextual"/>
        </w:rPr>
      </w:pPr>
    </w:p>
    <w:p w14:paraId="0DA1C337">
      <w:pPr>
        <w:spacing w:line="560" w:lineRule="exact"/>
        <w:jc w:val="center"/>
        <w:rPr>
          <w:rFonts w:hint="eastAsia" w:ascii="方正小标宋_GBK" w:hAnsi="方正小标宋_GBK" w:eastAsia="方正小标宋_GBK" w:cs="方正小标宋_GBK"/>
          <w:bCs/>
          <w:sz w:val="36"/>
          <w:szCs w:val="36"/>
          <w14:ligatures w14:val="standardContextual"/>
        </w:rPr>
      </w:pPr>
      <w:r>
        <w:rPr>
          <w:rFonts w:hint="eastAsia" w:ascii="方正小标宋_GBK" w:hAnsi="方正小标宋_GBK" w:eastAsia="方正小标宋_GBK" w:cs="方正小标宋_GBK"/>
          <w:bCs/>
          <w:sz w:val="36"/>
          <w:szCs w:val="36"/>
          <w:lang w:val="en-US" w:eastAsia="zh-CN"/>
          <w14:ligatures w14:val="standardContextual"/>
        </w:rPr>
        <w:t>运维研发DE</w:t>
      </w:r>
      <w:r>
        <w:rPr>
          <w:rFonts w:hint="eastAsia" w:ascii="方正小标宋_GBK" w:hAnsi="方正小标宋_GBK" w:eastAsia="方正小标宋_GBK" w:cs="方正小标宋_GBK"/>
          <w:bCs/>
          <w:sz w:val="36"/>
          <w:szCs w:val="36"/>
          <w14:ligatures w14:val="standardContextual"/>
        </w:rPr>
        <w:t>岗位责任书</w:t>
      </w:r>
    </w:p>
    <w:p w14:paraId="11CAC3D0">
      <w:pPr>
        <w:spacing w:line="560" w:lineRule="exact"/>
        <w:jc w:val="center"/>
        <w:rPr>
          <w:rFonts w:hint="eastAsia" w:ascii="方正小标宋_GBK" w:hAnsi="方正小标宋_GBK" w:eastAsia="方正小标宋_GBK" w:cs="方正小标宋_GBK"/>
          <w:bCs/>
          <w:sz w:val="36"/>
          <w:szCs w:val="36"/>
          <w14:ligatures w14:val="standardContextual"/>
        </w:rPr>
      </w:pPr>
      <w:r>
        <w:rPr>
          <w:rFonts w:hint="eastAsia" w:ascii="方正小标宋_GBK" w:hAnsi="方正小标宋_GBK" w:eastAsia="方正小标宋_GBK" w:cs="方正小标宋_GBK"/>
          <w:bCs/>
          <w:sz w:val="36"/>
          <w:szCs w:val="36"/>
          <w14:ligatures w14:val="standardContextual"/>
        </w:rPr>
        <w:t>（2025</w:t>
      </w:r>
      <w:r>
        <w:rPr>
          <w:rFonts w:hint="eastAsia" w:ascii="Cambria" w:hAnsi="Cambria" w:eastAsia="方正小标宋_GBK" w:cs="方正小标宋_GBK"/>
          <w:bCs/>
          <w:sz w:val="36"/>
          <w:szCs w:val="36"/>
          <w14:ligatures w14:val="standardContextual"/>
        </w:rPr>
        <w:t>版</w:t>
      </w:r>
      <w:r>
        <w:rPr>
          <w:rFonts w:hint="eastAsia" w:ascii="方正小标宋_GBK" w:hAnsi="方正小标宋_GBK" w:eastAsia="方正小标宋_GBK" w:cs="方正小标宋_GBK"/>
          <w:bCs/>
          <w:sz w:val="36"/>
          <w:szCs w:val="36"/>
          <w14:ligatures w14:val="standardContextual"/>
        </w:rPr>
        <w:t>）</w:t>
      </w:r>
    </w:p>
    <w:p w14:paraId="2AC6CA32">
      <w:pPr>
        <w:pStyle w:val="11"/>
        <w:spacing w:line="560" w:lineRule="exact"/>
        <w:ind w:left="0" w:firstLine="482" w:firstLineChars="200"/>
        <w:jc w:val="left"/>
        <w:outlineLvl w:val="0"/>
        <w:rPr>
          <w:rFonts w:ascii="Times New Roman" w:hAnsi="Times New Roman" w:eastAsia="方正仿宋_GB2312" w:cs="Times New Roman"/>
          <w:b/>
          <w:bCs/>
          <w:sz w:val="24"/>
          <w14:ligatures w14:val="standardContextual"/>
        </w:rPr>
      </w:pPr>
      <w:bookmarkStart w:id="2" w:name="_Toc24420"/>
      <w:r>
        <w:rPr>
          <w:rFonts w:ascii="Times New Roman" w:hAnsi="Times New Roman" w:eastAsia="方正仿宋_GB2312" w:cs="Times New Roman"/>
          <w:b/>
          <w:bCs/>
          <w:sz w:val="24"/>
          <w14:ligatures w14:val="standardContextual"/>
        </w:rPr>
        <w:t>一、责任书说明</w:t>
      </w:r>
      <w:bookmarkEnd w:id="2"/>
    </w:p>
    <w:p w14:paraId="2747AC85">
      <w:pPr>
        <w:spacing w:line="560" w:lineRule="exact"/>
        <w:ind w:firstLine="480" w:firstLineChars="200"/>
        <w:jc w:val="left"/>
        <w:rPr>
          <w:rFonts w:ascii="Times New Roman" w:hAnsi="Times New Roman" w:eastAsia="方正仿宋_GB2312" w:cs="Times New Roman"/>
          <w:sz w:val="24"/>
        </w:rPr>
      </w:pPr>
      <w:r>
        <w:rPr>
          <w:rFonts w:ascii="Times New Roman" w:hAnsi="Times New Roman" w:eastAsia="方正仿宋_GB2312" w:cs="Times New Roman"/>
          <w:sz w:val="24"/>
        </w:rPr>
        <w:t>本岗位责任书作为公司对员工作能力、工作态度考核的依据，用于评定员工是否称职，是否符合岗位要求的条件，公司可根据员工对应的履职表现，调整员工的职级、待遇、工作岗位等相关的劳动合同内容，其中对工作岗位的调整不限于岗位类别。</w:t>
      </w:r>
    </w:p>
    <w:p w14:paraId="03B22151">
      <w:pPr>
        <w:pStyle w:val="11"/>
        <w:spacing w:line="560" w:lineRule="exact"/>
        <w:ind w:left="0" w:firstLine="482" w:firstLineChars="200"/>
        <w:jc w:val="left"/>
        <w:outlineLvl w:val="0"/>
        <w:rPr>
          <w:rFonts w:ascii="Times New Roman" w:hAnsi="Times New Roman" w:eastAsia="方正仿宋_GB2312" w:cs="Times New Roman"/>
          <w:b/>
          <w:bCs/>
          <w:sz w:val="24"/>
          <w14:ligatures w14:val="standardContextual"/>
        </w:rPr>
      </w:pPr>
      <w:bookmarkStart w:id="3" w:name="_Toc18111"/>
      <w:r>
        <w:rPr>
          <w:rFonts w:ascii="Times New Roman" w:hAnsi="Times New Roman" w:eastAsia="方正仿宋_GB2312" w:cs="Times New Roman"/>
          <w:b/>
          <w:bCs/>
          <w:sz w:val="24"/>
          <w14:ligatures w14:val="standardContextual"/>
        </w:rPr>
        <w:t>二、岗位定位</w:t>
      </w:r>
      <w:bookmarkEnd w:id="3"/>
    </w:p>
    <w:p w14:paraId="68FDC3A6">
      <w:pPr>
        <w:pStyle w:val="11"/>
        <w:spacing w:line="560" w:lineRule="exact"/>
        <w:ind w:left="0" w:firstLine="480" w:firstLineChars="200"/>
        <w:jc w:val="left"/>
        <w:rPr>
          <w:rFonts w:hint="eastAsia" w:ascii="Times New Roman" w:hAnsi="Times New Roman" w:eastAsia="方正仿宋_GB2312" w:cs="Times New Roman"/>
          <w:sz w:val="24"/>
        </w:rPr>
      </w:pPr>
      <w:bookmarkStart w:id="4" w:name="_Toc1305"/>
      <w:r>
        <w:rPr>
          <w:rFonts w:hint="eastAsia" w:ascii="Times New Roman" w:hAnsi="Times New Roman" w:eastAsia="方正仿宋_GB2312" w:cs="Times New Roman"/>
          <w:sz w:val="24"/>
        </w:rPr>
        <w:t>在技术部主管的直接领导下，</w:t>
      </w:r>
      <w:r>
        <w:rPr>
          <w:rFonts w:hint="eastAsia" w:ascii="Times New Roman" w:hAnsi="Times New Roman" w:eastAsia="方正仿宋_GB2312" w:cs="Times New Roman"/>
          <w:sz w:val="24"/>
          <w:lang w:val="en-US" w:eastAsia="zh-CN"/>
        </w:rPr>
        <w:t>是公司信息化系统、各类软件产品及小程序的研发、维护、数据库管理、迁移、日常巡检以及项目依赖安全等工作的第一责任人</w:t>
      </w:r>
      <w:r>
        <w:rPr>
          <w:rFonts w:hint="eastAsia" w:ascii="Times New Roman" w:hAnsi="Times New Roman" w:eastAsia="方正仿宋_GB2312" w:cs="Times New Roman"/>
          <w:sz w:val="24"/>
        </w:rPr>
        <w:t>。遵守各项公司、部门管理、保密制度，配合部门领导及需求部门对接人，推进信息化系统、各类软件产品小程序的各项工作按时按点、保质保量的有序跟进，及时向工作分配领导反馈汇报进度和结果。</w:t>
      </w:r>
    </w:p>
    <w:p w14:paraId="2D22D8C6">
      <w:pPr>
        <w:pStyle w:val="11"/>
        <w:spacing w:line="560" w:lineRule="exact"/>
        <w:ind w:left="0" w:firstLine="482" w:firstLineChars="200"/>
        <w:jc w:val="left"/>
        <w:outlineLvl w:val="0"/>
        <w:rPr>
          <w:rFonts w:ascii="Times New Roman" w:hAnsi="Times New Roman" w:eastAsia="方正仿宋_GB2312" w:cs="Times New Roman"/>
          <w:b/>
          <w:bCs/>
          <w:sz w:val="24"/>
          <w14:ligatures w14:val="standardContextual"/>
        </w:rPr>
      </w:pPr>
      <w:r>
        <w:rPr>
          <w:rFonts w:ascii="Times New Roman" w:hAnsi="Times New Roman" w:eastAsia="方正仿宋_GB2312" w:cs="Times New Roman"/>
          <w:b/>
          <w:bCs/>
          <w:sz w:val="24"/>
          <w14:ligatures w14:val="standardContextual"/>
        </w:rPr>
        <w:t>三、岗位职责</w:t>
      </w:r>
      <w:bookmarkEnd w:id="4"/>
    </w:p>
    <w:p w14:paraId="2E0F464C">
      <w:pPr>
        <w:pStyle w:val="11"/>
        <w:spacing w:line="560" w:lineRule="exact"/>
        <w:ind w:left="0" w:firstLine="480" w:firstLineChars="200"/>
        <w:jc w:val="left"/>
        <w:rPr>
          <w:rFonts w:hint="eastAsia" w:ascii="Times New Roman" w:hAnsi="Times New Roman" w:eastAsia="方正仿宋_GB2312" w:cs="Times New Roman"/>
          <w:sz w:val="24"/>
        </w:rPr>
      </w:pPr>
      <w:bookmarkStart w:id="5" w:name="_Toc29376"/>
      <w:r>
        <w:rPr>
          <w:rFonts w:hint="eastAsia" w:ascii="Times New Roman" w:hAnsi="Times New Roman" w:eastAsia="方正仿宋_GB2312" w:cs="Times New Roman"/>
          <w:sz w:val="24"/>
        </w:rPr>
        <w:t>在技术部主管的直接领导下，</w:t>
      </w:r>
      <w:r>
        <w:rPr>
          <w:rFonts w:hint="eastAsia" w:ascii="Times New Roman" w:hAnsi="Times New Roman" w:eastAsia="方正仿宋_GB2312" w:cs="Times New Roman"/>
          <w:sz w:val="24"/>
          <w:lang w:val="en-US" w:eastAsia="zh-CN"/>
        </w:rPr>
        <w:t>是公司信息化系统、各类软件产品及小程序的研发、维护、数据库管理、迁移、日常巡检以及项目依赖安全等工作的第一责任人</w:t>
      </w:r>
      <w:r>
        <w:rPr>
          <w:rFonts w:hint="eastAsia" w:ascii="Times New Roman" w:hAnsi="Times New Roman" w:eastAsia="方正仿宋_GB2312" w:cs="Times New Roman"/>
          <w:sz w:val="24"/>
        </w:rPr>
        <w:t>。遵守各项公司、部门管理、保密制度，配合部门领导及需求部门对接人，推进信息化系统、各类软件产品小程序的各项工作按时按点、保质保量的有序跟进，及时向工作分配领导反馈汇报进度和结果。</w:t>
      </w:r>
    </w:p>
    <w:p w14:paraId="57BC3E03">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bookmarkStart w:id="6" w:name="_Toc32193"/>
      <w:r>
        <w:rPr>
          <w:rFonts w:hint="eastAsia" w:ascii="Times New Roman" w:hAnsi="Times New Roman" w:eastAsia="方正仿宋_GB2312" w:cs="Times New Roman"/>
          <w:sz w:val="24"/>
          <w:lang w:val="en-US" w:eastAsia="zh-CN"/>
        </w:rPr>
        <w:t>岗位职责</w:t>
      </w:r>
      <w:bookmarkEnd w:id="6"/>
    </w:p>
    <w:p w14:paraId="34F1D15A">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岗位职责是依据该特定岗位上必须</w:t>
      </w:r>
      <w:r>
        <w:rPr>
          <w:rFonts w:hint="default" w:ascii="Times New Roman" w:hAnsi="Times New Roman" w:eastAsia="方正仿宋_GB2312" w:cs="Times New Roman"/>
          <w:sz w:val="24"/>
          <w:lang w:val="en-US" w:eastAsia="zh-CN"/>
        </w:rPr>
        <w:t>完成的工作任务</w:t>
      </w:r>
      <w:r>
        <w:rPr>
          <w:rFonts w:hint="eastAsia" w:ascii="Times New Roman" w:hAnsi="Times New Roman" w:eastAsia="方正仿宋_GB2312" w:cs="Times New Roman"/>
          <w:sz w:val="24"/>
          <w:lang w:val="en-US" w:eastAsia="zh-CN"/>
        </w:rPr>
        <w:t>，即该岗位独有的必须完成的首要职责，其他共性工作依据部门年度发布的《技术部部门工作细项》规定执行；该岗位绩效考核和职权授权时也是依据岗位职责内容为出发点。</w:t>
      </w:r>
    </w:p>
    <w:p w14:paraId="5C218E51">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3.</w:t>
      </w:r>
      <w:r>
        <w:rPr>
          <w:rFonts w:hint="default" w:ascii="Times New Roman" w:hAnsi="Times New Roman" w:eastAsia="方正仿宋_GB2312" w:cs="Times New Roman"/>
          <w:sz w:val="24"/>
          <w:lang w:val="en-US" w:eastAsia="zh-CN"/>
        </w:rPr>
        <w:t>1、</w:t>
      </w:r>
      <w:r>
        <w:rPr>
          <w:rFonts w:hint="eastAsia" w:ascii="Times New Roman" w:hAnsi="Times New Roman" w:eastAsia="方正仿宋_GB2312" w:cs="Times New Roman"/>
          <w:sz w:val="24"/>
          <w:lang w:val="en-US" w:eastAsia="zh-CN"/>
        </w:rPr>
        <w:t>实行A岗系统承包制，即担负自己负责系统的需求研发、bug修复、数据支撑、环境维护、安全整改等全栈业务</w:t>
      </w:r>
      <w:r>
        <w:rPr>
          <w:rFonts w:hint="default" w:ascii="Times New Roman" w:hAnsi="Times New Roman" w:eastAsia="方正仿宋_GB2312" w:cs="Times New Roman"/>
          <w:sz w:val="24"/>
          <w:lang w:val="en-US" w:eastAsia="zh-CN"/>
        </w:rPr>
        <w:t>。</w:t>
      </w:r>
    </w:p>
    <w:p w14:paraId="6266D4AE">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3.</w:t>
      </w:r>
      <w:r>
        <w:rPr>
          <w:rFonts w:hint="default" w:ascii="Times New Roman" w:hAnsi="Times New Roman" w:eastAsia="方正仿宋_GB2312" w:cs="Times New Roman"/>
          <w:sz w:val="24"/>
          <w:lang w:val="en-US" w:eastAsia="zh-CN"/>
        </w:rPr>
        <w:t>2、</w:t>
      </w:r>
      <w:r>
        <w:rPr>
          <w:rFonts w:hint="eastAsia" w:ascii="Times New Roman" w:hAnsi="Times New Roman" w:eastAsia="方正仿宋_GB2312" w:cs="Times New Roman"/>
          <w:sz w:val="24"/>
          <w:lang w:val="en-US" w:eastAsia="zh-CN"/>
        </w:rPr>
        <w:t>系统B岗熟悉系统代码、环境部署、数据库结构，随时应急解决系统环境问题</w:t>
      </w:r>
      <w:r>
        <w:rPr>
          <w:rFonts w:hint="default" w:ascii="Times New Roman" w:hAnsi="Times New Roman" w:eastAsia="方正仿宋_GB2312" w:cs="Times New Roman"/>
          <w:sz w:val="24"/>
          <w:lang w:val="en-US" w:eastAsia="zh-CN"/>
        </w:rPr>
        <w:t>。</w:t>
      </w:r>
    </w:p>
    <w:p w14:paraId="7AD9C443">
      <w:pPr>
        <w:pStyle w:val="11"/>
        <w:spacing w:line="560" w:lineRule="exact"/>
        <w:ind w:left="0" w:firstLine="480" w:firstLineChars="200"/>
        <w:jc w:val="left"/>
        <w:rPr>
          <w:rFonts w:hint="default" w:cstheme="minorBidi"/>
          <w:kern w:val="2"/>
          <w:sz w:val="28"/>
          <w:szCs w:val="28"/>
          <w:lang w:val="en-US" w:eastAsia="zh-CN" w:bidi="ar-SA"/>
        </w:rPr>
      </w:pPr>
      <w:bookmarkStart w:id="7" w:name="_Toc7404"/>
      <w:r>
        <w:rPr>
          <w:rFonts w:hint="eastAsia" w:ascii="Times New Roman" w:hAnsi="Times New Roman" w:eastAsia="方正仿宋_GB2312" w:cs="Times New Roman"/>
          <w:sz w:val="24"/>
          <w:lang w:val="en-US" w:eastAsia="zh-CN"/>
        </w:rPr>
        <w:t>3.3、</w:t>
      </w:r>
      <w:bookmarkStart w:id="8" w:name="_Toc6345"/>
      <w:bookmarkStart w:id="9" w:name="_Toc31591"/>
      <w:bookmarkStart w:id="10" w:name="_Toc22007"/>
      <w:r>
        <w:rPr>
          <w:rFonts w:hint="default" w:ascii="Times New Roman" w:hAnsi="Times New Roman" w:eastAsia="方正仿宋_GB2312" w:cs="Times New Roman"/>
          <w:sz w:val="24"/>
          <w:lang w:val="en-US" w:eastAsia="zh-CN"/>
        </w:rPr>
        <w:t>积极完成</w:t>
      </w:r>
      <w:r>
        <w:rPr>
          <w:rFonts w:hint="eastAsia" w:ascii="Times New Roman" w:hAnsi="Times New Roman" w:eastAsia="方正仿宋_GB2312" w:cs="Times New Roman"/>
          <w:sz w:val="24"/>
          <w:lang w:val="en-US" w:eastAsia="zh-CN"/>
        </w:rPr>
        <w:t>部门主管或</w:t>
      </w:r>
      <w:r>
        <w:rPr>
          <w:rFonts w:hint="default" w:ascii="Times New Roman" w:hAnsi="Times New Roman" w:eastAsia="方正仿宋_GB2312" w:cs="Times New Roman"/>
          <w:sz w:val="24"/>
          <w:lang w:val="en-US" w:eastAsia="zh-CN"/>
        </w:rPr>
        <w:t>公司交办的其他工作。</w:t>
      </w:r>
      <w:bookmarkEnd w:id="7"/>
      <w:bookmarkEnd w:id="8"/>
      <w:bookmarkEnd w:id="9"/>
      <w:bookmarkEnd w:id="10"/>
    </w:p>
    <w:p w14:paraId="0DA9CD4C">
      <w:pPr>
        <w:pStyle w:val="11"/>
        <w:spacing w:line="560" w:lineRule="exact"/>
        <w:ind w:left="0" w:firstLine="482" w:firstLineChars="200"/>
        <w:jc w:val="left"/>
        <w:outlineLvl w:val="0"/>
        <w:rPr>
          <w:rFonts w:ascii="Times New Roman" w:hAnsi="Times New Roman" w:eastAsia="方正仿宋_GB2312" w:cs="Times New Roman"/>
          <w:b/>
          <w:bCs/>
          <w:sz w:val="24"/>
          <w14:ligatures w14:val="standardContextual"/>
        </w:rPr>
      </w:pPr>
      <w:r>
        <w:rPr>
          <w:rFonts w:ascii="Times New Roman" w:hAnsi="Times New Roman" w:eastAsia="方正仿宋_GB2312" w:cs="Times New Roman"/>
          <w:b/>
          <w:bCs/>
          <w:sz w:val="24"/>
          <w14:ligatures w14:val="standardContextual"/>
        </w:rPr>
        <w:t>四、岗位职权</w:t>
      </w:r>
      <w:bookmarkEnd w:id="5"/>
    </w:p>
    <w:p w14:paraId="63486C2B">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1" w:name="_Toc24643"/>
      <w:r>
        <w:rPr>
          <w:rFonts w:hint="eastAsia" w:ascii="Times New Roman" w:hAnsi="Times New Roman" w:eastAsia="方正仿宋_GB2312" w:cs="Times New Roman"/>
          <w:sz w:val="24"/>
          <w:lang w:val="en-US" w:eastAsia="zh-CN"/>
        </w:rPr>
        <w:t>4.1</w:t>
      </w:r>
      <w:r>
        <w:rPr>
          <w:rFonts w:hint="default" w:ascii="Times New Roman" w:hAnsi="Times New Roman" w:eastAsia="方正仿宋_GB2312" w:cs="Times New Roman"/>
          <w:sz w:val="24"/>
          <w:lang w:val="en-US" w:eastAsia="zh-CN"/>
        </w:rPr>
        <w:t>、</w:t>
      </w:r>
      <w:r>
        <w:rPr>
          <w:rFonts w:hint="eastAsia" w:ascii="Times New Roman" w:hAnsi="Times New Roman" w:eastAsia="方正仿宋_GB2312" w:cs="Times New Roman"/>
          <w:sz w:val="24"/>
          <w:lang w:val="en-US" w:eastAsia="zh-CN"/>
        </w:rPr>
        <w:t>负责业务系统的源码</w:t>
      </w:r>
      <w:bookmarkStart w:id="12" w:name="_Toc2933"/>
      <w:r>
        <w:rPr>
          <w:rFonts w:hint="eastAsia" w:ascii="Times New Roman" w:hAnsi="Times New Roman" w:eastAsia="方正仿宋_GB2312" w:cs="Times New Roman"/>
          <w:sz w:val="24"/>
          <w:lang w:val="en-US" w:eastAsia="zh-CN"/>
        </w:rPr>
        <w:t>的获取、增改、提交权。</w:t>
      </w:r>
      <w:bookmarkEnd w:id="11"/>
      <w:bookmarkEnd w:id="12"/>
    </w:p>
    <w:p w14:paraId="0F2DF466">
      <w:pPr>
        <w:pStyle w:val="11"/>
        <w:spacing w:line="560" w:lineRule="exact"/>
        <w:ind w:left="0" w:firstLine="480" w:firstLineChars="200"/>
        <w:jc w:val="left"/>
        <w:rPr>
          <w:rFonts w:ascii="Times New Roman" w:hAnsi="Times New Roman" w:eastAsia="方正仿宋_GB2312" w:cs="Times New Roman"/>
          <w:sz w:val="24"/>
        </w:rPr>
      </w:pPr>
      <w:bookmarkStart w:id="13" w:name="_Toc5542"/>
      <w:r>
        <w:rPr>
          <w:rFonts w:hint="eastAsia" w:ascii="Times New Roman" w:hAnsi="Times New Roman" w:eastAsia="方正仿宋_GB2312" w:cs="Times New Roman"/>
          <w:sz w:val="24"/>
          <w:lang w:val="en-US" w:eastAsia="zh-CN"/>
        </w:rPr>
        <w:t>4.2、负责业务系统的生产、测试环境的部署、实施、使用权。</w:t>
      </w:r>
      <w:bookmarkEnd w:id="13"/>
    </w:p>
    <w:p w14:paraId="08DD79A3">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4" w:name="_Toc24025"/>
      <w:r>
        <w:rPr>
          <w:rFonts w:hint="eastAsia" w:ascii="Times New Roman" w:hAnsi="Times New Roman" w:eastAsia="方正仿宋_GB2312" w:cs="Times New Roman"/>
          <w:sz w:val="24"/>
          <w:lang w:val="en-US" w:eastAsia="zh-CN"/>
        </w:rPr>
        <w:t>五、关键指标及考核标准</w:t>
      </w:r>
      <w:bookmarkEnd w:id="14"/>
    </w:p>
    <w:p w14:paraId="6F5F1649">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5" w:name="_Toc32317"/>
      <w:r>
        <w:rPr>
          <w:rFonts w:hint="eastAsia" w:ascii="Times New Roman" w:hAnsi="Times New Roman" w:eastAsia="方正仿宋_GB2312" w:cs="Times New Roman"/>
          <w:sz w:val="24"/>
          <w:lang w:val="en-US" w:eastAsia="zh-CN"/>
        </w:rPr>
        <w:t>关键指标是指该特定岗位独有的且能促进拿到岗位目标结果的任务指标；岗位的日常考核需要紧紧围绕这两点内容，其他共性工作考核则依据部门发布的《技术部部门工作细项》内对细项任务要求依据完成情况进行即可。</w:t>
      </w:r>
    </w:p>
    <w:p w14:paraId="5A9BB6E6">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6" w:name="_Toc1019"/>
      <w:r>
        <w:rPr>
          <w:rFonts w:hint="eastAsia" w:ascii="Times New Roman" w:hAnsi="Times New Roman" w:eastAsia="方正仿宋_GB2312" w:cs="Times New Roman"/>
          <w:sz w:val="24"/>
          <w:lang w:val="en-US" w:eastAsia="zh-CN"/>
        </w:rPr>
        <w:t>5.1、需求交付指标</w:t>
      </w:r>
      <w:bookmarkEnd w:id="16"/>
    </w:p>
    <w:p w14:paraId="44200865">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7" w:name="_Toc25007"/>
      <w:r>
        <w:rPr>
          <w:rFonts w:hint="eastAsia" w:ascii="Times New Roman" w:hAnsi="Times New Roman" w:eastAsia="方正仿宋_GB2312" w:cs="Times New Roman"/>
          <w:sz w:val="24"/>
          <w:lang w:val="en-US" w:eastAsia="zh-CN"/>
        </w:rPr>
        <w:t>5.1.1、关键指标：</w:t>
      </w:r>
      <w:bookmarkEnd w:id="17"/>
    </w:p>
    <w:p w14:paraId="7099A06E">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1）按时交付过审开发需求。</w:t>
      </w:r>
    </w:p>
    <w:p w14:paraId="494D3E3A">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8" w:name="_Toc13146"/>
      <w:r>
        <w:rPr>
          <w:rFonts w:hint="eastAsia" w:ascii="Times New Roman" w:hAnsi="Times New Roman" w:eastAsia="方正仿宋_GB2312" w:cs="Times New Roman"/>
          <w:sz w:val="24"/>
          <w:lang w:val="en-US" w:eastAsia="zh-CN"/>
        </w:rPr>
        <w:t>5.1.2、考核标准：</w:t>
      </w:r>
      <w:bookmarkEnd w:id="18"/>
    </w:p>
    <w:p w14:paraId="24774397">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1）需求按时交付率，计算公式为：个人按时交付研发需求数量 / 个人总研发需求数量 ×100%；研发需求：经过需求方需求撰写人及主管人员签字确认，技术部需求所属项目A岗负责人及技术部主管签字确认，公司决策层领导签字确认的明确了交付日期的纸质版正式需求。交付研发需求：个人实际研发，经过需求方测试通过并签字确认验收按时上线的研发需求。</w:t>
      </w:r>
    </w:p>
    <w:p w14:paraId="317BFEEF">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19" w:name="_Toc24375"/>
      <w:r>
        <w:rPr>
          <w:rFonts w:hint="eastAsia" w:ascii="Times New Roman" w:hAnsi="Times New Roman" w:eastAsia="方正仿宋_GB2312" w:cs="Times New Roman"/>
          <w:sz w:val="24"/>
          <w:lang w:val="en-US" w:eastAsia="zh-CN"/>
        </w:rPr>
        <w:t>5.1.3、考核指标：</w:t>
      </w:r>
      <w:bookmarkEnd w:id="19"/>
    </w:p>
    <w:p w14:paraId="616110A1">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1）</w:t>
      </w:r>
      <w:r>
        <w:rPr>
          <w:rFonts w:hint="default" w:ascii="Times New Roman" w:hAnsi="Times New Roman" w:eastAsia="方正仿宋_GB2312" w:cs="Times New Roman"/>
          <w:sz w:val="24"/>
          <w:lang w:val="en-US" w:eastAsia="zh-CN"/>
        </w:rPr>
        <w:t>以季度为考评周期；一个周期内交付率为 90%及其以上为优秀，交付率为 70%至90%之间为良好，交付率低于70%为待提升。一周期一考评。</w:t>
      </w:r>
    </w:p>
    <w:p w14:paraId="25DBCC54">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20" w:name="_Toc5498"/>
      <w:r>
        <w:rPr>
          <w:rFonts w:hint="eastAsia" w:ascii="Times New Roman" w:hAnsi="Times New Roman" w:eastAsia="方正仿宋_GB2312" w:cs="Times New Roman"/>
          <w:sz w:val="24"/>
          <w:lang w:val="en-US" w:eastAsia="zh-CN"/>
        </w:rPr>
        <w:t>5.2、系统bug修复指标</w:t>
      </w:r>
      <w:bookmarkEnd w:id="20"/>
    </w:p>
    <w:p w14:paraId="637B8647">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21" w:name="_Toc12238"/>
      <w:r>
        <w:rPr>
          <w:rFonts w:hint="eastAsia" w:ascii="Times New Roman" w:hAnsi="Times New Roman" w:eastAsia="方正仿宋_GB2312" w:cs="Times New Roman"/>
          <w:sz w:val="24"/>
          <w:lang w:val="en-US" w:eastAsia="zh-CN"/>
        </w:rPr>
        <w:t>5.2.1、关键指标：</w:t>
      </w:r>
      <w:bookmarkEnd w:id="21"/>
    </w:p>
    <w:p w14:paraId="45BBB429">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1）系统需求方通过日常bug提审工具提出的系统问题进行限时修复。</w:t>
      </w:r>
    </w:p>
    <w:p w14:paraId="1D75FEAF">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22" w:name="_Toc10598"/>
      <w:r>
        <w:rPr>
          <w:rFonts w:hint="eastAsia" w:ascii="Times New Roman" w:hAnsi="Times New Roman" w:eastAsia="方正仿宋_GB2312" w:cs="Times New Roman"/>
          <w:sz w:val="24"/>
          <w:lang w:val="en-US" w:eastAsia="zh-CN"/>
        </w:rPr>
        <w:t>5.2.2、考核标准：</w:t>
      </w:r>
      <w:bookmarkEnd w:id="22"/>
    </w:p>
    <w:p w14:paraId="6270888F">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1）bug修复率：bug提出工具(mants)内个人记录按时修复的bug数 / 全部负责系统的bug总数 ×100%。抽查审核：月内bug不定期匿名抽查审核，发现实际未通过但bug工具内已修复的，当月所处考核周期该项不能评为优秀。</w:t>
      </w:r>
    </w:p>
    <w:p w14:paraId="5CFEE1A6">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bookmarkStart w:id="23" w:name="_Toc8984"/>
      <w:r>
        <w:rPr>
          <w:rFonts w:hint="eastAsia" w:ascii="Times New Roman" w:hAnsi="Times New Roman" w:eastAsia="方正仿宋_GB2312" w:cs="Times New Roman"/>
          <w:sz w:val="24"/>
          <w:lang w:val="en-US" w:eastAsia="zh-CN"/>
        </w:rPr>
        <w:t>5.2.3、考核指标：</w:t>
      </w:r>
      <w:bookmarkEnd w:id="23"/>
    </w:p>
    <w:p w14:paraId="713949FF">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1）以季度为考评周期，bug修复率超过95%且经过抽查审核确认的为优秀，bug修复率处于85%至95%之间且经过抽查审核确认的为良好，bug修复率低于85%且经过抽查审核确认的为待提升。</w:t>
      </w:r>
    </w:p>
    <w:p w14:paraId="27D54645">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六、晋升、降级等参考公司绩效考核制度</w:t>
      </w:r>
      <w:bookmarkEnd w:id="15"/>
    </w:p>
    <w:p w14:paraId="5773CC3F">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p>
    <w:p w14:paraId="37F85525">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bookmarkStart w:id="24" w:name="_Toc9068"/>
      <w:bookmarkStart w:id="25" w:name="_Toc13550"/>
      <w:bookmarkStart w:id="26" w:name="_Toc584"/>
      <w:r>
        <w:rPr>
          <w:rFonts w:hint="eastAsia" w:ascii="Times New Roman" w:hAnsi="Times New Roman" w:eastAsia="方正仿宋_GB2312" w:cs="Times New Roman"/>
          <w:sz w:val="24"/>
          <w:lang w:val="en-US" w:eastAsia="zh-CN"/>
        </w:rPr>
        <w:t>6.1、晋升</w:t>
      </w:r>
    </w:p>
    <w:p w14:paraId="25C87CB1">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6.1.1、</w:t>
      </w:r>
      <w:r>
        <w:rPr>
          <w:rFonts w:hint="default" w:ascii="Times New Roman" w:hAnsi="Times New Roman" w:eastAsia="方正仿宋_GB2312" w:cs="Times New Roman"/>
          <w:sz w:val="24"/>
          <w:lang w:val="en-US" w:eastAsia="zh-CN"/>
        </w:rPr>
        <w:t>半年为一个考核周期内(优秀率 = 总优秀考评次数/总考评次数)，优秀率超过90%及其以上，可获得一次</w:t>
      </w:r>
      <w:r>
        <w:rPr>
          <w:rFonts w:hint="eastAsia" w:ascii="Times New Roman" w:hAnsi="Times New Roman" w:eastAsia="方正仿宋_GB2312" w:cs="Times New Roman"/>
          <w:sz w:val="24"/>
          <w:lang w:val="en-US" w:eastAsia="zh-CN"/>
        </w:rPr>
        <w:t>升级</w:t>
      </w:r>
      <w:r>
        <w:rPr>
          <w:rFonts w:hint="default" w:ascii="Times New Roman" w:hAnsi="Times New Roman" w:eastAsia="方正仿宋_GB2312" w:cs="Times New Roman"/>
          <w:sz w:val="24"/>
          <w:lang w:val="en-US" w:eastAsia="zh-CN"/>
        </w:rPr>
        <w:t>提档机会</w:t>
      </w:r>
      <w:r>
        <w:rPr>
          <w:rFonts w:hint="eastAsia" w:ascii="Times New Roman" w:hAnsi="Times New Roman" w:eastAsia="方正仿宋_GB2312" w:cs="Times New Roman"/>
          <w:sz w:val="24"/>
          <w:lang w:val="en-US" w:eastAsia="zh-CN"/>
        </w:rPr>
        <w:t>，当月内提交个人升级</w:t>
      </w:r>
      <w:r>
        <w:rPr>
          <w:rFonts w:hint="default" w:ascii="Times New Roman" w:hAnsi="Times New Roman" w:eastAsia="方正仿宋_GB2312" w:cs="Times New Roman"/>
          <w:sz w:val="24"/>
          <w:lang w:val="en-US" w:eastAsia="zh-CN"/>
        </w:rPr>
        <w:t>提档</w:t>
      </w:r>
      <w:r>
        <w:rPr>
          <w:rFonts w:hint="eastAsia" w:ascii="Times New Roman" w:hAnsi="Times New Roman" w:eastAsia="方正仿宋_GB2312" w:cs="Times New Roman"/>
          <w:sz w:val="24"/>
          <w:lang w:val="en-US" w:eastAsia="zh-CN"/>
        </w:rPr>
        <w:t>申请书</w:t>
      </w:r>
      <w:r>
        <w:rPr>
          <w:rFonts w:hint="default" w:ascii="Times New Roman" w:hAnsi="Times New Roman" w:eastAsia="方正仿宋_GB2312" w:cs="Times New Roman"/>
          <w:sz w:val="24"/>
          <w:lang w:val="en-US" w:eastAsia="zh-CN"/>
        </w:rPr>
        <w:t>。</w:t>
      </w:r>
      <w:bookmarkEnd w:id="24"/>
      <w:bookmarkEnd w:id="25"/>
    </w:p>
    <w:p w14:paraId="430F59AB">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bookmarkStart w:id="27" w:name="_Toc18646"/>
      <w:bookmarkStart w:id="28" w:name="_Toc18324"/>
      <w:r>
        <w:rPr>
          <w:rFonts w:hint="eastAsia" w:ascii="Times New Roman" w:hAnsi="Times New Roman" w:eastAsia="方正仿宋_GB2312" w:cs="Times New Roman"/>
          <w:sz w:val="24"/>
          <w:lang w:val="en-US" w:eastAsia="zh-CN"/>
        </w:rPr>
        <w:t>6.1.2、</w:t>
      </w:r>
      <w:r>
        <w:rPr>
          <w:rFonts w:hint="default" w:ascii="Times New Roman" w:hAnsi="Times New Roman" w:eastAsia="方正仿宋_GB2312" w:cs="Times New Roman"/>
          <w:sz w:val="24"/>
          <w:lang w:val="en-US" w:eastAsia="zh-CN"/>
        </w:rPr>
        <w:t>通过</w:t>
      </w:r>
      <w:r>
        <w:rPr>
          <w:rFonts w:hint="eastAsia" w:ascii="Times New Roman" w:hAnsi="Times New Roman" w:eastAsia="方正仿宋_GB2312" w:cs="Times New Roman"/>
          <w:sz w:val="24"/>
          <w:lang w:val="en-US" w:eastAsia="zh-CN"/>
        </w:rPr>
        <w:t>部门同意、</w:t>
      </w:r>
      <w:r>
        <w:rPr>
          <w:rFonts w:hint="default" w:ascii="Times New Roman" w:hAnsi="Times New Roman" w:eastAsia="方正仿宋_GB2312" w:cs="Times New Roman"/>
          <w:sz w:val="24"/>
          <w:lang w:val="en-US" w:eastAsia="zh-CN"/>
        </w:rPr>
        <w:t>公司级评议批准后即可</w:t>
      </w:r>
      <w:r>
        <w:rPr>
          <w:rFonts w:hint="eastAsia" w:ascii="Times New Roman" w:hAnsi="Times New Roman" w:eastAsia="方正仿宋_GB2312" w:cs="Times New Roman"/>
          <w:sz w:val="24"/>
          <w:lang w:val="en-US" w:eastAsia="zh-CN"/>
        </w:rPr>
        <w:t>升级</w:t>
      </w:r>
      <w:r>
        <w:rPr>
          <w:rFonts w:hint="default" w:ascii="Times New Roman" w:hAnsi="Times New Roman" w:eastAsia="方正仿宋_GB2312" w:cs="Times New Roman"/>
          <w:sz w:val="24"/>
          <w:lang w:val="en-US" w:eastAsia="zh-CN"/>
        </w:rPr>
        <w:t>提档一级。</w:t>
      </w:r>
      <w:bookmarkEnd w:id="26"/>
      <w:bookmarkEnd w:id="27"/>
      <w:bookmarkEnd w:id="28"/>
    </w:p>
    <w:p w14:paraId="01E30529">
      <w:pPr>
        <w:pStyle w:val="11"/>
        <w:spacing w:line="560" w:lineRule="exact"/>
        <w:ind w:left="0" w:firstLine="480" w:firstLineChars="200"/>
        <w:jc w:val="left"/>
        <w:rPr>
          <w:rFonts w:hint="eastAsia"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6.2降级</w:t>
      </w:r>
    </w:p>
    <w:p w14:paraId="7CE76983">
      <w:pPr>
        <w:pStyle w:val="11"/>
        <w:spacing w:line="560" w:lineRule="exact"/>
        <w:ind w:left="0" w:firstLine="480" w:firstLineChars="200"/>
        <w:jc w:val="left"/>
        <w:rPr>
          <w:rFonts w:hint="default" w:ascii="Times New Roman" w:hAnsi="Times New Roman" w:eastAsia="方正仿宋_GB2312" w:cs="Times New Roman"/>
          <w:sz w:val="24"/>
          <w:lang w:val="en-US" w:eastAsia="zh-CN"/>
        </w:rPr>
      </w:pPr>
      <w:r>
        <w:rPr>
          <w:rFonts w:hint="eastAsia" w:ascii="Times New Roman" w:hAnsi="Times New Roman" w:eastAsia="方正仿宋_GB2312" w:cs="Times New Roman"/>
          <w:sz w:val="24"/>
          <w:lang w:val="en-US" w:eastAsia="zh-CN"/>
        </w:rPr>
        <w:t>6.2.1、连续三个考核周期内(不良率 = 总待提升考评次数/总考评次数)，不良率超过20%需要进行岗内沟通，超过40%将进行部门内转岗/降档。</w:t>
      </w:r>
    </w:p>
    <w:p w14:paraId="3B68B220">
      <w:pPr>
        <w:pStyle w:val="11"/>
        <w:spacing w:line="560" w:lineRule="exact"/>
        <w:ind w:left="0" w:firstLine="480" w:firstLineChars="200"/>
        <w:jc w:val="left"/>
        <w:rPr>
          <w:rFonts w:ascii="Times New Roman" w:hAnsi="Times New Roman" w:eastAsia="方正仿宋_GB2312" w:cs="Times New Roman"/>
          <w:b/>
          <w:bCs/>
          <w:sz w:val="24"/>
          <w:highlight w:val="none"/>
          <w14:ligatures w14:val="standardContextual"/>
        </w:rPr>
      </w:pPr>
      <w:r>
        <w:rPr>
          <w:rFonts w:hint="eastAsia" w:ascii="Times New Roman" w:hAnsi="Times New Roman" w:eastAsia="方正仿宋_GB2312" w:cs="Times New Roman"/>
          <w:sz w:val="24"/>
          <w:lang w:val="en-US" w:eastAsia="zh-CN"/>
        </w:rPr>
        <w:t>6.2.2、</w:t>
      </w:r>
      <w:r>
        <w:rPr>
          <w:rFonts w:hint="default" w:ascii="Times New Roman" w:hAnsi="Times New Roman" w:eastAsia="方正仿宋_GB2312" w:cs="Times New Roman"/>
          <w:sz w:val="24"/>
          <w:lang w:val="en-US" w:eastAsia="zh-CN"/>
        </w:rPr>
        <w:t>通过</w:t>
      </w:r>
      <w:r>
        <w:rPr>
          <w:rFonts w:hint="eastAsia" w:ascii="Times New Roman" w:hAnsi="Times New Roman" w:eastAsia="方正仿宋_GB2312" w:cs="Times New Roman"/>
          <w:sz w:val="24"/>
          <w:lang w:val="en-US" w:eastAsia="zh-CN"/>
        </w:rPr>
        <w:t>部门确认、</w:t>
      </w:r>
      <w:r>
        <w:rPr>
          <w:rFonts w:hint="default" w:ascii="Times New Roman" w:hAnsi="Times New Roman" w:eastAsia="方正仿宋_GB2312" w:cs="Times New Roman"/>
          <w:sz w:val="24"/>
          <w:lang w:val="en-US" w:eastAsia="zh-CN"/>
        </w:rPr>
        <w:t>公司级</w:t>
      </w:r>
      <w:r>
        <w:rPr>
          <w:rFonts w:hint="eastAsia" w:ascii="Times New Roman" w:hAnsi="Times New Roman" w:eastAsia="方正仿宋_GB2312" w:cs="Times New Roman"/>
          <w:sz w:val="24"/>
          <w:lang w:val="en-US" w:eastAsia="zh-CN"/>
        </w:rPr>
        <w:t>转岗/降档评审</w:t>
      </w:r>
      <w:r>
        <w:rPr>
          <w:rFonts w:hint="default" w:ascii="Times New Roman" w:hAnsi="Times New Roman" w:eastAsia="方正仿宋_GB2312" w:cs="Times New Roman"/>
          <w:sz w:val="24"/>
          <w:lang w:val="en-US" w:eastAsia="zh-CN"/>
        </w:rPr>
        <w:t>批准后</w:t>
      </w:r>
      <w:r>
        <w:rPr>
          <w:rFonts w:hint="eastAsia" w:ascii="Times New Roman" w:hAnsi="Times New Roman" w:eastAsia="方正仿宋_GB2312" w:cs="Times New Roman"/>
          <w:sz w:val="24"/>
          <w:lang w:val="en-US" w:eastAsia="zh-CN"/>
        </w:rPr>
        <w:t>交由综合部人事告知部门执行。</w:t>
      </w:r>
      <w:r>
        <w:rPr>
          <w:rFonts w:ascii="Times New Roman" w:hAnsi="Times New Roman" w:eastAsia="方正仿宋_GB2312" w:cs="Times New Roman"/>
          <w:sz w:val="24"/>
        </w:rPr>
        <w:br w:type="textWrapping"/>
      </w:r>
      <w:r>
        <w:rPr>
          <w:rFonts w:ascii="Times New Roman" w:hAnsi="Times New Roman" w:eastAsia="方正仿宋_GB2312" w:cs="Times New Roman"/>
          <w:sz w:val="24"/>
        </w:rPr>
        <w:br w:type="textWrapping"/>
      </w:r>
      <w:r>
        <w:rPr>
          <w:rFonts w:hint="eastAsia" w:ascii="宋体" w:hAnsi="宋体" w:eastAsia="宋体" w:cs="宋体"/>
          <w:b/>
          <w:bCs/>
          <w:sz w:val="24"/>
          <w:highlight w:val="none"/>
          <w14:ligatures w14:val="standardContextual"/>
        </w:rPr>
        <w:t>七、附件：</w:t>
      </w:r>
      <w:r>
        <w:rPr>
          <w:rFonts w:hint="eastAsia" w:ascii="Times New Roman" w:hAnsi="Times New Roman" w:eastAsia="方正仿宋_GB2312" w:cs="Times New Roman"/>
          <w:b/>
          <w:bCs/>
          <w:sz w:val="24"/>
          <w:highlight w:val="none"/>
          <w14:ligatures w14:val="standardContextual"/>
        </w:rPr>
        <w:t>2025年下半年目标责任书</w:t>
      </w:r>
    </w:p>
    <w:p w14:paraId="3D93FFA7">
      <w:pPr>
        <w:pStyle w:val="11"/>
        <w:spacing w:line="560" w:lineRule="exact"/>
        <w:ind w:left="0" w:firstLine="482" w:firstLineChars="200"/>
        <w:jc w:val="left"/>
        <w:outlineLvl w:val="0"/>
        <w:rPr>
          <w:rFonts w:ascii="Times New Roman" w:hAnsi="Times New Roman" w:eastAsia="方正仿宋_GB2312" w:cs="Times New Roman"/>
          <w:b/>
          <w:bCs/>
          <w:sz w:val="24"/>
          <w:highlight w:val="none"/>
          <w14:ligatures w14:val="standardContextual"/>
        </w:rPr>
      </w:pPr>
      <w:r>
        <w:rPr>
          <w:rFonts w:hint="eastAsia" w:ascii="Times New Roman" w:hAnsi="Times New Roman" w:eastAsia="方正仿宋_GB2312" w:cs="Times New Roman"/>
          <w:b/>
          <w:bCs/>
          <w:sz w:val="24"/>
          <w:highlight w:val="none"/>
          <w14:ligatures w14:val="standardContextual"/>
        </w:rPr>
        <w:t xml:space="preserve">    </w:t>
      </w:r>
    </w:p>
    <w:p w14:paraId="273775BB">
      <w:pPr>
        <w:pStyle w:val="11"/>
        <w:spacing w:line="560" w:lineRule="exact"/>
        <w:ind w:left="0" w:firstLine="482" w:firstLineChars="200"/>
        <w:jc w:val="left"/>
        <w:outlineLvl w:val="0"/>
        <w:rPr>
          <w:rFonts w:hint="eastAsia" w:ascii="楷体" w:hAnsi="楷体" w:eastAsia="楷体" w:cs="楷体"/>
          <w:bCs/>
          <w:sz w:val="24"/>
          <w:highlight w:val="none"/>
        </w:rPr>
      </w:pPr>
      <w:r>
        <w:rPr>
          <w:rFonts w:hint="eastAsia" w:ascii="Times New Roman" w:hAnsi="Times New Roman" w:eastAsia="方正仿宋_GB2312" w:cs="Times New Roman"/>
          <w:b/>
          <w:bCs/>
          <w:sz w:val="24"/>
          <w:highlight w:val="none"/>
          <w14:ligatures w14:val="standardContextual"/>
        </w:rPr>
        <w:t>2025年下半年目标责任书</w:t>
      </w:r>
    </w:p>
    <w:p w14:paraId="17F4D90D">
      <w:pPr>
        <w:pStyle w:val="11"/>
        <w:spacing w:line="560" w:lineRule="exact"/>
        <w:ind w:left="0" w:firstLine="480" w:firstLineChars="200"/>
        <w:jc w:val="left"/>
        <w:outlineLvl w:val="0"/>
        <w:rPr>
          <w:rFonts w:hint="eastAsia" w:ascii="楷体" w:hAnsi="楷体" w:eastAsia="楷体" w:cs="楷体"/>
          <w:bCs/>
          <w:sz w:val="24"/>
        </w:rPr>
      </w:pPr>
    </w:p>
    <w:p w14:paraId="3A8659F4">
      <w:pPr>
        <w:spacing w:line="360" w:lineRule="auto"/>
        <w:ind w:firstLine="480" w:firstLineChars="200"/>
        <w:rPr>
          <w:rFonts w:hint="eastAsia" w:ascii="仿宋" w:hAnsi="仿宋" w:eastAsia="仿宋" w:cs="Arial"/>
          <w:sz w:val="24"/>
        </w:rPr>
      </w:pPr>
      <w:r>
        <w:rPr>
          <w:rFonts w:hint="eastAsia" w:ascii="仿宋" w:hAnsi="仿宋" w:eastAsia="仿宋" w:cs="Arial"/>
          <w:sz w:val="24"/>
        </w:rPr>
        <w:t>为落实学生体质健康数据管理中心暨青卫舜源信息科技有限公司2</w:t>
      </w:r>
      <w:r>
        <w:rPr>
          <w:rFonts w:ascii="仿宋" w:hAnsi="仿宋" w:eastAsia="仿宋" w:cs="Arial"/>
          <w:sz w:val="24"/>
        </w:rPr>
        <w:t>02</w:t>
      </w:r>
      <w:r>
        <w:rPr>
          <w:rFonts w:hint="eastAsia" w:ascii="仿宋" w:hAnsi="仿宋" w:eastAsia="仿宋" w:cs="Arial"/>
          <w:sz w:val="24"/>
        </w:rPr>
        <w:t>5年加快打造学生体质健康信息技术与整体服务运营商的指导思想，管理团队将全力以赴、勇于拼搏、敢于担当，带动和引领各部门骨干团队和全员奋进，推进增效提质，提升公司整体发展能力，推进20</w:t>
      </w:r>
      <w:r>
        <w:rPr>
          <w:rFonts w:ascii="仿宋" w:hAnsi="仿宋" w:eastAsia="仿宋" w:cs="Arial"/>
          <w:sz w:val="24"/>
        </w:rPr>
        <w:t>2</w:t>
      </w:r>
      <w:r>
        <w:rPr>
          <w:rFonts w:hint="eastAsia" w:ascii="仿宋" w:hAnsi="仿宋" w:eastAsia="仿宋" w:cs="Arial"/>
          <w:sz w:val="24"/>
        </w:rPr>
        <w:t>5年各项经营发展目标和任务实现。经充分酝酿和决定，公司</w:t>
      </w:r>
      <w:r>
        <w:rPr>
          <w:rFonts w:ascii="仿宋" w:hAnsi="仿宋" w:eastAsia="仿宋" w:cs="Arial"/>
          <w:sz w:val="24"/>
        </w:rPr>
        <w:t>与</w:t>
      </w:r>
      <w:r>
        <w:rPr>
          <w:rFonts w:hint="eastAsia" w:ascii="仿宋" w:hAnsi="仿宋" w:eastAsia="仿宋" w:cs="Arial"/>
          <w:sz w:val="24"/>
        </w:rPr>
        <w:t>综管部达成</w:t>
      </w:r>
      <w:r>
        <w:rPr>
          <w:rFonts w:ascii="仿宋" w:hAnsi="仿宋" w:eastAsia="仿宋" w:cs="Arial"/>
          <w:sz w:val="24"/>
        </w:rPr>
        <w:t>202</w:t>
      </w:r>
      <w:r>
        <w:rPr>
          <w:rFonts w:hint="eastAsia" w:ascii="仿宋" w:hAnsi="仿宋" w:eastAsia="仿宋" w:cs="Arial"/>
          <w:sz w:val="24"/>
        </w:rPr>
        <w:t>5</w:t>
      </w:r>
      <w:r>
        <w:rPr>
          <w:rFonts w:ascii="仿宋" w:hAnsi="仿宋" w:eastAsia="仿宋" w:cs="Arial"/>
          <w:sz w:val="24"/>
        </w:rPr>
        <w:t>年目标责任书，具体内容如下：</w:t>
      </w:r>
    </w:p>
    <w:tbl>
      <w:tblPr>
        <w:tblStyle w:val="8"/>
        <w:tblW w:w="5010" w:type="pct"/>
        <w:tblInd w:w="0" w:type="dxa"/>
        <w:tblLayout w:type="fixed"/>
        <w:tblCellMar>
          <w:top w:w="0" w:type="dxa"/>
          <w:left w:w="108" w:type="dxa"/>
          <w:bottom w:w="0" w:type="dxa"/>
          <w:right w:w="108" w:type="dxa"/>
        </w:tblCellMar>
      </w:tblPr>
      <w:tblGrid>
        <w:gridCol w:w="8539"/>
      </w:tblGrid>
      <w:tr w14:paraId="5D3EB500">
        <w:tblPrEx>
          <w:tblCellMar>
            <w:top w:w="0" w:type="dxa"/>
            <w:left w:w="108" w:type="dxa"/>
            <w:bottom w:w="0" w:type="dxa"/>
            <w:right w:w="108" w:type="dxa"/>
          </w:tblCellMar>
        </w:tblPrEx>
        <w:trPr>
          <w:wAfter w:w="9" w:type="pct"/>
          <w:trHeight w:val="780" w:hRule="atLeast"/>
        </w:trPr>
        <w:tc>
          <w:tcPr>
            <w:tcW w:w="4990" w:type="pct"/>
            <w:tcBorders>
              <w:top w:val="nil"/>
              <w:left w:val="nil"/>
              <w:bottom w:val="single" w:color="auto" w:sz="4" w:space="0"/>
              <w:right w:val="nil"/>
            </w:tcBorders>
            <w:noWrap/>
            <w:vAlign w:val="center"/>
          </w:tcPr>
          <w:p w14:paraId="3806ED05">
            <w:pPr>
              <w:widowControl/>
              <w:textAlignment w:val="center"/>
              <w:rPr>
                <w:rFonts w:hint="eastAsia" w:ascii="黑体" w:hAnsi="黑体" w:eastAsia="黑体" w:cs="黑体"/>
                <w:b/>
                <w:bCs/>
                <w:kern w:val="0"/>
                <w:sz w:val="24"/>
                <w:lang w:bidi="ar"/>
              </w:rPr>
            </w:pPr>
            <w:r>
              <w:rPr>
                <w:rFonts w:hint="eastAsia" w:ascii="黑体" w:hAnsi="黑体" w:eastAsia="黑体" w:cs="黑体"/>
                <w:b/>
                <w:bCs/>
                <w:kern w:val="0"/>
                <w:sz w:val="24"/>
                <w:lang w:bidi="ar"/>
              </w:rPr>
              <w:t>一、2025年</w:t>
            </w:r>
            <w:r>
              <w:rPr>
                <w:rFonts w:hint="eastAsia" w:ascii="黑体" w:hAnsi="黑体" w:eastAsia="黑体" w:cs="黑体"/>
                <w:b/>
                <w:bCs/>
                <w:kern w:val="0"/>
                <w:sz w:val="24"/>
                <w:lang w:val="en-US" w:eastAsia="zh-CN" w:bidi="ar"/>
              </w:rPr>
              <w:t>技术</w:t>
            </w:r>
            <w:r>
              <w:rPr>
                <w:rFonts w:hint="eastAsia" w:ascii="黑体" w:hAnsi="黑体" w:eastAsia="黑体" w:cs="黑体"/>
                <w:b/>
                <w:bCs/>
                <w:kern w:val="0"/>
                <w:sz w:val="24"/>
                <w:lang w:bidi="ar"/>
              </w:rPr>
              <w:t>部目标责任书--关键绩效指标（KPI）</w:t>
            </w:r>
          </w:p>
        </w:tc>
      </w:tr>
    </w:tbl>
    <w:p w14:paraId="56D64AD4">
      <w:pPr>
        <w:tabs>
          <w:tab w:val="left" w:pos="2897"/>
        </w:tabs>
        <w:spacing w:line="360" w:lineRule="auto"/>
        <w:ind w:firstLine="480" w:firstLineChars="200"/>
        <w:rPr>
          <w:rFonts w:hint="eastAsia" w:ascii="Arial" w:hAnsi="黑体" w:eastAsia="黑体" w:cs="Arial"/>
          <w:bCs/>
          <w:sz w:val="24"/>
        </w:rPr>
      </w:pPr>
    </w:p>
    <w:tbl>
      <w:tblP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356"/>
        <w:gridCol w:w="450"/>
        <w:gridCol w:w="1350"/>
        <w:gridCol w:w="1939"/>
        <w:gridCol w:w="634"/>
        <w:gridCol w:w="704"/>
        <w:gridCol w:w="1339"/>
        <w:gridCol w:w="1750"/>
      </w:tblGrid>
      <w:tr w14:paraId="426D7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8"/>
            <w:tcBorders>
              <w:top w:val="nil"/>
              <w:left w:val="nil"/>
              <w:bottom w:val="nil"/>
              <w:right w:val="nil"/>
            </w:tcBorders>
            <w:shd w:val="clear"/>
            <w:noWrap/>
            <w:vAlign w:val="center"/>
          </w:tcPr>
          <w:p w14:paraId="637BFFFA">
            <w:pPr>
              <w:keepNext w:val="0"/>
              <w:keepLines w:val="0"/>
              <w:widowControl/>
              <w:suppressLineNumbers w:val="0"/>
              <w:jc w:val="left"/>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bdr w:val="none" w:color="auto" w:sz="0" w:space="0"/>
                <w:lang w:val="en-US" w:eastAsia="zh-CN" w:bidi="ar"/>
              </w:rPr>
              <w:t>附件：</w:t>
            </w:r>
          </w:p>
        </w:tc>
      </w:tr>
      <w:tr w14:paraId="7A4DD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8"/>
            <w:tcBorders>
              <w:top w:val="nil"/>
              <w:left w:val="nil"/>
              <w:bottom w:val="nil"/>
              <w:right w:val="nil"/>
            </w:tcBorders>
            <w:shd w:val="clear"/>
            <w:noWrap/>
            <w:vAlign w:val="center"/>
          </w:tcPr>
          <w:p w14:paraId="0955F577">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default" w:ascii="方正小标宋简体" w:hAnsi="方正小标宋简体" w:eastAsia="方正小标宋简体" w:cs="方正小标宋简体"/>
                <w:i w:val="0"/>
                <w:iCs w:val="0"/>
                <w:color w:val="000000"/>
                <w:kern w:val="0"/>
                <w:sz w:val="32"/>
                <w:szCs w:val="32"/>
                <w:u w:val="none"/>
                <w:bdr w:val="none" w:color="auto" w:sz="0" w:space="0"/>
                <w:lang w:val="en-US" w:eastAsia="zh-CN" w:bidi="ar"/>
              </w:rPr>
              <w:t>2025年技术部颜准目标责任书--关键绩效指标（KPI）</w:t>
            </w:r>
          </w:p>
        </w:tc>
      </w:tr>
      <w:tr w14:paraId="1F364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tcBorders>
              <w:top w:val="single" w:color="000000" w:sz="4" w:space="0"/>
              <w:left w:val="single" w:color="000000" w:sz="4" w:space="0"/>
              <w:bottom w:val="single" w:color="000000" w:sz="4" w:space="0"/>
              <w:right w:val="single" w:color="000000" w:sz="4" w:space="0"/>
            </w:tcBorders>
            <w:shd w:val="clear"/>
            <w:vAlign w:val="center"/>
          </w:tcPr>
          <w:p w14:paraId="03B2C841">
            <w:pPr>
              <w:keepNext w:val="0"/>
              <w:keepLines w:val="0"/>
              <w:widowControl/>
              <w:suppressLineNumbers w:val="0"/>
              <w:jc w:val="center"/>
              <w:textAlignment w:val="center"/>
              <w:rPr>
                <w:rFonts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维度</w:t>
            </w:r>
          </w:p>
        </w:tc>
        <w:tc>
          <w:tcPr>
            <w:tcW w:w="264" w:type="pct"/>
            <w:tcBorders>
              <w:top w:val="single" w:color="000000" w:sz="4" w:space="0"/>
              <w:left w:val="single" w:color="000000" w:sz="4" w:space="0"/>
              <w:bottom w:val="single" w:color="000000" w:sz="4" w:space="0"/>
              <w:right w:val="single" w:color="000000" w:sz="4" w:space="0"/>
            </w:tcBorders>
            <w:shd w:val="clear"/>
            <w:vAlign w:val="center"/>
          </w:tcPr>
          <w:p w14:paraId="30330166">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指标序号</w:t>
            </w:r>
          </w:p>
        </w:tc>
        <w:tc>
          <w:tcPr>
            <w:tcW w:w="792" w:type="pct"/>
            <w:tcBorders>
              <w:top w:val="single" w:color="000000" w:sz="4" w:space="0"/>
              <w:left w:val="single" w:color="000000" w:sz="4" w:space="0"/>
              <w:bottom w:val="single" w:color="000000" w:sz="4" w:space="0"/>
              <w:right w:val="single" w:color="000000" w:sz="4" w:space="0"/>
            </w:tcBorders>
            <w:shd w:val="clear"/>
            <w:vAlign w:val="center"/>
          </w:tcPr>
          <w:p w14:paraId="5C4FD3B8">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指标名称</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4775AC3B">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指标内容</w:t>
            </w:r>
          </w:p>
        </w:tc>
        <w:tc>
          <w:tcPr>
            <w:tcW w:w="371" w:type="pct"/>
            <w:tcBorders>
              <w:top w:val="single" w:color="000000" w:sz="4" w:space="0"/>
              <w:left w:val="single" w:color="000000" w:sz="4" w:space="0"/>
              <w:bottom w:val="single" w:color="000000" w:sz="4" w:space="0"/>
              <w:right w:val="single" w:color="000000" w:sz="4" w:space="0"/>
            </w:tcBorders>
            <w:shd w:val="clear"/>
            <w:vAlign w:val="center"/>
          </w:tcPr>
          <w:p w14:paraId="0AEE80DB">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指标值（%）</w:t>
            </w:r>
          </w:p>
        </w:tc>
        <w:tc>
          <w:tcPr>
            <w:tcW w:w="413" w:type="pct"/>
            <w:tcBorders>
              <w:top w:val="single" w:color="000000" w:sz="4" w:space="0"/>
              <w:left w:val="single" w:color="000000" w:sz="4" w:space="0"/>
              <w:bottom w:val="single" w:color="000000" w:sz="4" w:space="0"/>
              <w:right w:val="single" w:color="000000" w:sz="4" w:space="0"/>
            </w:tcBorders>
            <w:shd w:val="clear"/>
            <w:vAlign w:val="center"/>
          </w:tcPr>
          <w:p w14:paraId="62AD7476">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指标权重（100%）</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6F3BEEC4">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数据来源</w:t>
            </w:r>
          </w:p>
        </w:tc>
        <w:tc>
          <w:tcPr>
            <w:tcW w:w="1026" w:type="pct"/>
            <w:tcBorders>
              <w:top w:val="single" w:color="000000" w:sz="4" w:space="0"/>
              <w:left w:val="single" w:color="000000" w:sz="4" w:space="0"/>
              <w:bottom w:val="single" w:color="000000" w:sz="4" w:space="0"/>
              <w:right w:val="single" w:color="000000" w:sz="4" w:space="0"/>
            </w:tcBorders>
            <w:shd w:val="clear"/>
            <w:vAlign w:val="center"/>
          </w:tcPr>
          <w:p w14:paraId="0A0C8298">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说明</w:t>
            </w:r>
          </w:p>
        </w:tc>
      </w:tr>
      <w:tr w14:paraId="73D31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tcBorders>
              <w:top w:val="single" w:color="000000" w:sz="4" w:space="0"/>
              <w:left w:val="single" w:color="000000" w:sz="4" w:space="0"/>
              <w:bottom w:val="single" w:color="000000" w:sz="4" w:space="0"/>
              <w:right w:val="single" w:color="000000" w:sz="4" w:space="0"/>
            </w:tcBorders>
            <w:shd w:val="clear"/>
            <w:noWrap/>
            <w:vAlign w:val="center"/>
          </w:tcPr>
          <w:p w14:paraId="4AF7BACA">
            <w:pPr>
              <w:keepNext w:val="0"/>
              <w:keepLines w:val="0"/>
              <w:widowControl/>
              <w:suppressLineNumbers w:val="0"/>
              <w:jc w:val="left"/>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客户指标</w:t>
            </w:r>
          </w:p>
        </w:tc>
        <w:tc>
          <w:tcPr>
            <w:tcW w:w="264" w:type="pct"/>
            <w:tcBorders>
              <w:top w:val="single" w:color="000000" w:sz="4" w:space="0"/>
              <w:left w:val="single" w:color="000000" w:sz="4" w:space="0"/>
              <w:bottom w:val="single" w:color="000000" w:sz="4" w:space="0"/>
              <w:right w:val="single" w:color="000000" w:sz="4" w:space="0"/>
            </w:tcBorders>
            <w:shd w:val="clear"/>
            <w:noWrap/>
            <w:vAlign w:val="center"/>
          </w:tcPr>
          <w:p w14:paraId="6A704BD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w:t>
            </w:r>
          </w:p>
        </w:tc>
        <w:tc>
          <w:tcPr>
            <w:tcW w:w="792" w:type="pct"/>
            <w:tcBorders>
              <w:top w:val="single" w:color="000000" w:sz="4" w:space="0"/>
              <w:left w:val="single" w:color="000000" w:sz="4" w:space="0"/>
              <w:bottom w:val="single" w:color="000000" w:sz="4" w:space="0"/>
              <w:right w:val="single" w:color="000000" w:sz="4" w:space="0"/>
            </w:tcBorders>
            <w:shd w:val="clear"/>
            <w:noWrap/>
            <w:vAlign w:val="center"/>
          </w:tcPr>
          <w:p w14:paraId="141785E9">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客户满意度</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4262C79D">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所有公司提供服务和产品的重要机构用户（学校、医疗机构、第三方），无重大投诉事件发生。</w:t>
            </w: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453AAE0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1E00226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5%</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624414D7">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运营部和客户端反馈，公司评价。</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67050849">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业务系统项目停止运行因素导致每被投诉到主管单位，扣分20%。</w:t>
            </w:r>
          </w:p>
        </w:tc>
      </w:tr>
      <w:tr w14:paraId="08A88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3E7A99AE">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研发运维工作指标</w:t>
            </w:r>
          </w:p>
        </w:tc>
        <w:tc>
          <w:tcPr>
            <w:tcW w:w="264" w:type="pct"/>
            <w:tcBorders>
              <w:top w:val="single" w:color="000000" w:sz="4" w:space="0"/>
              <w:left w:val="single" w:color="000000" w:sz="4" w:space="0"/>
              <w:bottom w:val="single" w:color="000000" w:sz="4" w:space="0"/>
              <w:right w:val="single" w:color="000000" w:sz="4" w:space="0"/>
            </w:tcBorders>
            <w:shd w:val="clear"/>
            <w:noWrap/>
            <w:vAlign w:val="center"/>
          </w:tcPr>
          <w:p w14:paraId="75F20F4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2</w:t>
            </w:r>
          </w:p>
        </w:tc>
        <w:tc>
          <w:tcPr>
            <w:tcW w:w="792" w:type="pct"/>
            <w:tcBorders>
              <w:top w:val="single" w:color="000000" w:sz="4" w:space="0"/>
              <w:left w:val="single" w:color="000000" w:sz="4" w:space="0"/>
              <w:bottom w:val="single" w:color="000000" w:sz="4" w:space="0"/>
              <w:right w:val="single" w:color="000000" w:sz="4" w:space="0"/>
            </w:tcBorders>
            <w:shd w:val="clear"/>
            <w:vAlign w:val="center"/>
          </w:tcPr>
          <w:p w14:paraId="060FB2F5">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已有系统新功能升级目标达成率</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51EF98FF">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对晨午检、设备管理中心、中考体育、新日常体测系统PC端运行，优化、上线、使用达到公司和相关部门要求。</w:t>
            </w: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6160842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1D35FAF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15%</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10E8C6FB">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公司管理层和运营部对技术部根据项目阶段性评价、打分。</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1D1229BC">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1、需求文档中每一阶段需要研发的功能按时间节点提出测试并测试通过率达到80%以上不扣分，测试通过率70%至80%扣5%至10%的分数，测试通过率60%至70%，扣分10%至15%。测试通过率低于60%，扣20%的分数。</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2、技术部主动撰写需求并通过需求确认额外得10%分，主动研发完成额外得分25%，主动研发完成通过测试并上线额外得分30%。</w:t>
            </w:r>
          </w:p>
        </w:tc>
      </w:tr>
      <w:tr w14:paraId="1AF74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BD71920">
            <w:pPr>
              <w:jc w:val="center"/>
              <w:rPr>
                <w:rFonts w:hint="eastAsia" w:ascii="等线" w:hAnsi="等线" w:eastAsia="等线" w:cs="等线"/>
                <w:b/>
                <w:bCs/>
                <w:i w:val="0"/>
                <w:iCs w:val="0"/>
                <w:color w:val="000000"/>
                <w:sz w:val="22"/>
                <w:szCs w:val="22"/>
                <w:u w:val="none"/>
              </w:rPr>
            </w:pPr>
          </w:p>
        </w:tc>
        <w:tc>
          <w:tcPr>
            <w:tcW w:w="264" w:type="pct"/>
            <w:tcBorders>
              <w:top w:val="single" w:color="000000" w:sz="4" w:space="0"/>
              <w:left w:val="single" w:color="000000" w:sz="4" w:space="0"/>
              <w:bottom w:val="single" w:color="000000" w:sz="4" w:space="0"/>
              <w:right w:val="single" w:color="000000" w:sz="4" w:space="0"/>
            </w:tcBorders>
            <w:shd w:val="clear"/>
            <w:noWrap/>
            <w:vAlign w:val="center"/>
          </w:tcPr>
          <w:p w14:paraId="6B766FE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3</w:t>
            </w:r>
          </w:p>
        </w:tc>
        <w:tc>
          <w:tcPr>
            <w:tcW w:w="792" w:type="pct"/>
            <w:tcBorders>
              <w:top w:val="single" w:color="000000" w:sz="4" w:space="0"/>
              <w:left w:val="single" w:color="000000" w:sz="4" w:space="0"/>
              <w:bottom w:val="single" w:color="000000" w:sz="4" w:space="0"/>
              <w:right w:val="single" w:color="000000" w:sz="4" w:space="0"/>
            </w:tcBorders>
            <w:shd w:val="clear"/>
            <w:noWrap/>
            <w:vAlign w:val="center"/>
          </w:tcPr>
          <w:p w14:paraId="4F89F8EA">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业务安全生产技术保障工作目标达成率</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51D08FF9">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等保测评、体系认证、系统迁移、服务器和数据库资源等工作符合公司业务安全生产要求。</w:t>
            </w: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205E06A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475F0C1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20%</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3C2FF76B">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主管对相应的工作进行打分。</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56D0CE5B">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 按照计划定时对服务器进行巡检，如因未巡检出现问题，直接扣分。</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2. 按照计划对业务进行迁移，如未在规定时间完成交付，直接扣分。                                                                           3. 严格按照网数安等规定，落实好自身保密职责。</w:t>
            </w:r>
          </w:p>
        </w:tc>
      </w:tr>
      <w:tr w14:paraId="79CD4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3ED4885">
            <w:pPr>
              <w:jc w:val="center"/>
              <w:rPr>
                <w:rFonts w:hint="eastAsia" w:ascii="等线" w:hAnsi="等线" w:eastAsia="等线" w:cs="等线"/>
                <w:b/>
                <w:bCs/>
                <w:i w:val="0"/>
                <w:iCs w:val="0"/>
                <w:color w:val="000000"/>
                <w:sz w:val="22"/>
                <w:szCs w:val="22"/>
                <w:u w:val="none"/>
              </w:rPr>
            </w:pPr>
          </w:p>
        </w:tc>
        <w:tc>
          <w:tcPr>
            <w:tcW w:w="264" w:type="pct"/>
            <w:tcBorders>
              <w:top w:val="single" w:color="000000" w:sz="4" w:space="0"/>
              <w:left w:val="single" w:color="000000" w:sz="4" w:space="0"/>
              <w:bottom w:val="single" w:color="000000" w:sz="4" w:space="0"/>
              <w:right w:val="single" w:color="000000" w:sz="4" w:space="0"/>
            </w:tcBorders>
            <w:shd w:val="clear"/>
            <w:noWrap/>
            <w:vAlign w:val="center"/>
          </w:tcPr>
          <w:p w14:paraId="3CF8737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4</w:t>
            </w:r>
          </w:p>
        </w:tc>
        <w:tc>
          <w:tcPr>
            <w:tcW w:w="792" w:type="pct"/>
            <w:tcBorders>
              <w:top w:val="single" w:color="000000" w:sz="4" w:space="0"/>
              <w:left w:val="single" w:color="000000" w:sz="4" w:space="0"/>
              <w:bottom w:val="single" w:color="000000" w:sz="4" w:space="0"/>
              <w:right w:val="single" w:color="000000" w:sz="4" w:space="0"/>
            </w:tcBorders>
            <w:shd w:val="clear"/>
            <w:noWrap/>
            <w:vAlign w:val="center"/>
          </w:tcPr>
          <w:p w14:paraId="3C2991F5">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新业务系统或软硬件研发目标达成率</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2EB4BF66">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开发设备管理中心、开发统一身份认证、数据中台、石榴籽，严格按照需求进行研发。</w:t>
            </w: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0F152EB3">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2AF11CE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20%</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4CA8D4AD">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主管按照需求进行验收，通过运营部测试，能够上线正常运行。</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11201F20">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 xml:space="preserve">1. 按照规定计划完成需求，延期按照时间进行扣分。延期超过20%，直接扣分。                                                        2. 具有明显重大亮点的则可适当加分20%~30%。                   3. 总完成度不低于80%，扣分不超过20%~30%。                      </w:t>
            </w:r>
          </w:p>
        </w:tc>
      </w:tr>
      <w:tr w14:paraId="735F1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0" w:hRule="atLeast"/>
          <w:jc w:val="center"/>
        </w:trPr>
        <w:tc>
          <w:tcPr>
            <w:tcW w:w="208" w:type="pct"/>
            <w:vMerge w:val="restart"/>
            <w:tcBorders>
              <w:top w:val="single" w:color="000000" w:sz="4" w:space="0"/>
              <w:left w:val="single" w:color="000000" w:sz="4" w:space="0"/>
              <w:bottom w:val="single" w:color="000000" w:sz="4" w:space="0"/>
              <w:right w:val="single" w:color="000000" w:sz="4" w:space="0"/>
            </w:tcBorders>
            <w:shd w:val="clear"/>
            <w:vAlign w:val="center"/>
          </w:tcPr>
          <w:p w14:paraId="33FB00DF">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内部运营工作指标</w:t>
            </w:r>
          </w:p>
        </w:tc>
        <w:tc>
          <w:tcPr>
            <w:tcW w:w="264" w:type="pct"/>
            <w:tcBorders>
              <w:top w:val="single" w:color="000000" w:sz="4" w:space="0"/>
              <w:left w:val="single" w:color="000000" w:sz="4" w:space="0"/>
              <w:bottom w:val="single" w:color="000000" w:sz="4" w:space="0"/>
              <w:right w:val="single" w:color="000000" w:sz="4" w:space="0"/>
            </w:tcBorders>
            <w:shd w:val="clear"/>
            <w:noWrap/>
            <w:vAlign w:val="center"/>
          </w:tcPr>
          <w:p w14:paraId="3B0977F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5</w:t>
            </w:r>
          </w:p>
        </w:tc>
        <w:tc>
          <w:tcPr>
            <w:tcW w:w="792" w:type="pct"/>
            <w:tcBorders>
              <w:top w:val="single" w:color="000000" w:sz="4" w:space="0"/>
              <w:left w:val="single" w:color="000000" w:sz="4" w:space="0"/>
              <w:bottom w:val="single" w:color="000000" w:sz="4" w:space="0"/>
              <w:right w:val="single" w:color="000000" w:sz="4" w:space="0"/>
            </w:tcBorders>
            <w:shd w:val="clear"/>
            <w:vAlign w:val="center"/>
          </w:tcPr>
          <w:p w14:paraId="64C1B9B7">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工作高效顺畅达成率</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14006697">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对自己进行严格的管理，保证工作整体有序进行。结合公司发展方向，及时完成部门制定的计划和其他各类紧急工作。</w:t>
            </w: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475D46E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6912274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634DF6E3">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公司领导打分、评级打分、员工打分。</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3C1CE4EB">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按期时间达成率不低于90%得满分。</w:t>
            </w:r>
          </w:p>
        </w:tc>
      </w:tr>
      <w:tr w14:paraId="16A49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0277F4DE">
            <w:pPr>
              <w:jc w:val="center"/>
              <w:rPr>
                <w:rFonts w:hint="eastAsia" w:ascii="等线" w:hAnsi="等线" w:eastAsia="等线" w:cs="等线"/>
                <w:b/>
                <w:bCs/>
                <w:i w:val="0"/>
                <w:iCs w:val="0"/>
                <w:color w:val="000000"/>
                <w:sz w:val="22"/>
                <w:szCs w:val="22"/>
                <w:u w:val="none"/>
              </w:rPr>
            </w:pPr>
          </w:p>
        </w:tc>
        <w:tc>
          <w:tcPr>
            <w:tcW w:w="264"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3F1E49B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6</w:t>
            </w:r>
          </w:p>
        </w:tc>
        <w:tc>
          <w:tcPr>
            <w:tcW w:w="792"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220F377B">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网络安全和数据安全全年无事故达成率</w:t>
            </w:r>
          </w:p>
        </w:tc>
        <w:tc>
          <w:tcPr>
            <w:tcW w:w="1137" w:type="pct"/>
            <w:vMerge w:val="restart"/>
            <w:tcBorders>
              <w:top w:val="single" w:color="000000" w:sz="4" w:space="0"/>
              <w:left w:val="single" w:color="000000" w:sz="4" w:space="0"/>
              <w:bottom w:val="single" w:color="000000" w:sz="4" w:space="0"/>
              <w:right w:val="single" w:color="000000" w:sz="4" w:space="0"/>
            </w:tcBorders>
            <w:shd w:val="clear"/>
            <w:vAlign w:val="center"/>
          </w:tcPr>
          <w:p w14:paraId="6D2B3AA0">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严格落实3114模式安全工作法，每月新发现问题和漏洞不低于3项，并提出有效防范措施。</w:t>
            </w:r>
          </w:p>
        </w:tc>
        <w:tc>
          <w:tcPr>
            <w:tcW w:w="371"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36B4FBB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40C8952D">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15%</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292DBCFE">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公司评价和主管评价打分。</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62753626">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1、每日巡检、每周一评、一月一总结/课落实，月度网络安全和数据安全工作总结，不出现安全事件并日常安全工作达成率95%不扣分。</w:t>
            </w:r>
          </w:p>
        </w:tc>
      </w:tr>
      <w:tr w14:paraId="13DE8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1E0E6D68">
            <w:pPr>
              <w:jc w:val="center"/>
              <w:rPr>
                <w:rFonts w:hint="eastAsia" w:ascii="等线" w:hAnsi="等线" w:eastAsia="等线" w:cs="等线"/>
                <w:b/>
                <w:bCs/>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6737388">
            <w:pPr>
              <w:jc w:val="center"/>
              <w:rPr>
                <w:rFonts w:hint="eastAsia" w:ascii="等线" w:hAnsi="等线" w:eastAsia="等线" w:cs="等线"/>
                <w:i w:val="0"/>
                <w:iCs w:val="0"/>
                <w:color w:val="000000"/>
                <w:sz w:val="22"/>
                <w:szCs w:val="22"/>
                <w:u w:val="none"/>
              </w:rPr>
            </w:pPr>
          </w:p>
        </w:tc>
        <w:tc>
          <w:tcPr>
            <w:tcW w:w="792"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1B829F4">
            <w:pPr>
              <w:jc w:val="left"/>
              <w:rPr>
                <w:rFonts w:hint="eastAsia" w:ascii="等线" w:hAnsi="等线" w:eastAsia="等线" w:cs="等线"/>
                <w:i w:val="0"/>
                <w:iCs w:val="0"/>
                <w:color w:val="000000"/>
                <w:sz w:val="22"/>
                <w:szCs w:val="22"/>
                <w:u w:val="none"/>
              </w:rPr>
            </w:pPr>
          </w:p>
        </w:tc>
        <w:tc>
          <w:tcPr>
            <w:tcW w:w="1137" w:type="pct"/>
            <w:vMerge w:val="continue"/>
            <w:tcBorders>
              <w:top w:val="single" w:color="000000" w:sz="4" w:space="0"/>
              <w:left w:val="single" w:color="000000" w:sz="4" w:space="0"/>
              <w:bottom w:val="single" w:color="000000" w:sz="4" w:space="0"/>
              <w:right w:val="single" w:color="000000" w:sz="4" w:space="0"/>
            </w:tcBorders>
            <w:shd w:val="clear"/>
            <w:vAlign w:val="center"/>
          </w:tcPr>
          <w:p w14:paraId="21820B25">
            <w:pPr>
              <w:jc w:val="left"/>
              <w:rPr>
                <w:rFonts w:hint="eastAsia" w:ascii="等线" w:hAnsi="等线" w:eastAsia="等线" w:cs="等线"/>
                <w:i w:val="0"/>
                <w:iCs w:val="0"/>
                <w:color w:val="000000"/>
                <w:sz w:val="22"/>
                <w:szCs w:val="22"/>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21AD327">
            <w:pPr>
              <w:jc w:val="center"/>
              <w:rPr>
                <w:rFonts w:hint="eastAsia" w:ascii="等线" w:hAnsi="等线" w:eastAsia="等线" w:cs="等线"/>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C51E4E1">
            <w:pPr>
              <w:jc w:val="center"/>
              <w:rPr>
                <w:rFonts w:hint="eastAsia" w:ascii="等线" w:hAnsi="等线" w:eastAsia="等线" w:cs="等线"/>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359488A3">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1.月度网络安全和数据安全工作总结、计划和目标达成率。</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0DEC92BD">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2、因项目中间件、服务器账号和密码管理不规范、数据库中出现业务系统弱密码等原因造成的外部影响事件，每产生一件外部影响事件扣分30%并视影响情况随后相应处罚责任。</w:t>
            </w:r>
          </w:p>
        </w:tc>
      </w:tr>
      <w:tr w14:paraId="7BDB6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56BFF574">
            <w:pPr>
              <w:jc w:val="center"/>
              <w:rPr>
                <w:rFonts w:hint="eastAsia" w:ascii="等线" w:hAnsi="等线" w:eastAsia="等线" w:cs="等线"/>
                <w:b/>
                <w:bCs/>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155FE40">
            <w:pPr>
              <w:jc w:val="center"/>
              <w:rPr>
                <w:rFonts w:hint="eastAsia" w:ascii="等线" w:hAnsi="等线" w:eastAsia="等线" w:cs="等线"/>
                <w:i w:val="0"/>
                <w:iCs w:val="0"/>
                <w:color w:val="000000"/>
                <w:sz w:val="22"/>
                <w:szCs w:val="22"/>
                <w:u w:val="none"/>
              </w:rPr>
            </w:pPr>
          </w:p>
        </w:tc>
        <w:tc>
          <w:tcPr>
            <w:tcW w:w="792"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D1791A3">
            <w:pPr>
              <w:jc w:val="left"/>
              <w:rPr>
                <w:rFonts w:hint="eastAsia" w:ascii="等线" w:hAnsi="等线" w:eastAsia="等线" w:cs="等线"/>
                <w:i w:val="0"/>
                <w:iCs w:val="0"/>
                <w:color w:val="000000"/>
                <w:sz w:val="22"/>
                <w:szCs w:val="22"/>
                <w:u w:val="none"/>
              </w:rPr>
            </w:pPr>
          </w:p>
        </w:tc>
        <w:tc>
          <w:tcPr>
            <w:tcW w:w="1137" w:type="pct"/>
            <w:vMerge w:val="continue"/>
            <w:tcBorders>
              <w:top w:val="single" w:color="000000" w:sz="4" w:space="0"/>
              <w:left w:val="single" w:color="000000" w:sz="4" w:space="0"/>
              <w:bottom w:val="single" w:color="000000" w:sz="4" w:space="0"/>
              <w:right w:val="single" w:color="000000" w:sz="4" w:space="0"/>
            </w:tcBorders>
            <w:shd w:val="clear"/>
            <w:vAlign w:val="center"/>
          </w:tcPr>
          <w:p w14:paraId="3E88B5B6">
            <w:pPr>
              <w:jc w:val="left"/>
              <w:rPr>
                <w:rFonts w:hint="eastAsia" w:ascii="等线" w:hAnsi="等线" w:eastAsia="等线" w:cs="等线"/>
                <w:i w:val="0"/>
                <w:iCs w:val="0"/>
                <w:color w:val="000000"/>
                <w:sz w:val="22"/>
                <w:szCs w:val="22"/>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D2B2036">
            <w:pPr>
              <w:jc w:val="center"/>
              <w:rPr>
                <w:rFonts w:hint="eastAsia" w:ascii="等线" w:hAnsi="等线" w:eastAsia="等线" w:cs="等线"/>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F9D3ABA">
            <w:pPr>
              <w:jc w:val="center"/>
              <w:rPr>
                <w:rFonts w:hint="eastAsia" w:ascii="等线" w:hAnsi="等线" w:eastAsia="等线" w:cs="等线"/>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33529EEF">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2.外部事件影响评价或处理的直接或连带责任。</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7B237317">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3、（一日三检、一周一评、一月一总结和一年四次培训---与外部联系组织一年四次网络安全培训）</w:t>
            </w:r>
          </w:p>
        </w:tc>
      </w:tr>
      <w:tr w14:paraId="69AE4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46774365">
            <w:pPr>
              <w:jc w:val="center"/>
              <w:rPr>
                <w:rFonts w:hint="eastAsia" w:ascii="等线" w:hAnsi="等线" w:eastAsia="等线" w:cs="等线"/>
                <w:b/>
                <w:bCs/>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EE79271">
            <w:pPr>
              <w:jc w:val="center"/>
              <w:rPr>
                <w:rFonts w:hint="eastAsia" w:ascii="等线" w:hAnsi="等线" w:eastAsia="等线" w:cs="等线"/>
                <w:i w:val="0"/>
                <w:iCs w:val="0"/>
                <w:color w:val="000000"/>
                <w:sz w:val="22"/>
                <w:szCs w:val="22"/>
                <w:u w:val="none"/>
              </w:rPr>
            </w:pPr>
          </w:p>
        </w:tc>
        <w:tc>
          <w:tcPr>
            <w:tcW w:w="792"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C1D0BBC">
            <w:pPr>
              <w:jc w:val="left"/>
              <w:rPr>
                <w:rFonts w:hint="eastAsia" w:ascii="等线" w:hAnsi="等线" w:eastAsia="等线" w:cs="等线"/>
                <w:i w:val="0"/>
                <w:iCs w:val="0"/>
                <w:color w:val="000000"/>
                <w:sz w:val="22"/>
                <w:szCs w:val="22"/>
                <w:u w:val="none"/>
              </w:rPr>
            </w:pPr>
          </w:p>
        </w:tc>
        <w:tc>
          <w:tcPr>
            <w:tcW w:w="1137" w:type="pct"/>
            <w:vMerge w:val="continue"/>
            <w:tcBorders>
              <w:top w:val="single" w:color="000000" w:sz="4" w:space="0"/>
              <w:left w:val="single" w:color="000000" w:sz="4" w:space="0"/>
              <w:bottom w:val="single" w:color="000000" w:sz="4" w:space="0"/>
              <w:right w:val="single" w:color="000000" w:sz="4" w:space="0"/>
            </w:tcBorders>
            <w:shd w:val="clear"/>
            <w:vAlign w:val="center"/>
          </w:tcPr>
          <w:p w14:paraId="0A5C7BB8">
            <w:pPr>
              <w:jc w:val="left"/>
              <w:rPr>
                <w:rFonts w:hint="eastAsia" w:ascii="等线" w:hAnsi="等线" w:eastAsia="等线" w:cs="等线"/>
                <w:i w:val="0"/>
                <w:iCs w:val="0"/>
                <w:color w:val="000000"/>
                <w:sz w:val="22"/>
                <w:szCs w:val="22"/>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4783037">
            <w:pPr>
              <w:jc w:val="center"/>
              <w:rPr>
                <w:rFonts w:hint="eastAsia" w:ascii="等线" w:hAnsi="等线" w:eastAsia="等线" w:cs="等线"/>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A7B38E1">
            <w:pPr>
              <w:jc w:val="center"/>
              <w:rPr>
                <w:rFonts w:hint="eastAsia" w:ascii="等线" w:hAnsi="等线" w:eastAsia="等线" w:cs="等线"/>
                <w:i w:val="0"/>
                <w:iCs w:val="0"/>
                <w:color w:val="000000"/>
                <w:sz w:val="22"/>
                <w:szCs w:val="22"/>
                <w:u w:val="none"/>
              </w:rPr>
            </w:pPr>
          </w:p>
        </w:tc>
        <w:tc>
          <w:tcPr>
            <w:tcW w:w="785" w:type="pct"/>
            <w:tcBorders>
              <w:top w:val="single" w:color="000000" w:sz="4" w:space="0"/>
              <w:left w:val="single" w:color="000000" w:sz="4" w:space="0"/>
              <w:bottom w:val="single" w:color="000000" w:sz="4" w:space="0"/>
              <w:right w:val="single" w:color="000000" w:sz="4" w:space="0"/>
            </w:tcBorders>
            <w:shd w:val="clear"/>
            <w:noWrap/>
            <w:vAlign w:val="center"/>
          </w:tcPr>
          <w:p w14:paraId="06B7B7CB">
            <w:pPr>
              <w:rPr>
                <w:rFonts w:hint="eastAsia" w:ascii="宋体" w:hAnsi="宋体" w:eastAsia="宋体" w:cs="宋体"/>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4D6E798F">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4、每周对网络曝光重大漏洞进行学习，一月一次做好业务系统依赖版本漏洞排查，熟悉并研究国家自治区及各部门网安数字法律法规，在公司现有相关制度基础上做好网安数安管理体系和日常管理推进落实工作，全年不出现重大风险。</w:t>
            </w:r>
          </w:p>
        </w:tc>
      </w:tr>
      <w:tr w14:paraId="5BA99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restart"/>
            <w:tcBorders>
              <w:top w:val="single" w:color="000000" w:sz="4" w:space="0"/>
              <w:left w:val="single" w:color="000000" w:sz="4" w:space="0"/>
              <w:bottom w:val="single" w:color="000000" w:sz="4" w:space="0"/>
              <w:right w:val="single" w:color="000000" w:sz="4" w:space="0"/>
            </w:tcBorders>
            <w:shd w:val="clear"/>
            <w:vAlign w:val="center"/>
          </w:tcPr>
          <w:p w14:paraId="5E922EF7">
            <w:pPr>
              <w:keepNext w:val="0"/>
              <w:keepLines w:val="0"/>
              <w:widowControl/>
              <w:suppressLineNumbers w:val="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成长与发展指标</w:t>
            </w:r>
          </w:p>
        </w:tc>
        <w:tc>
          <w:tcPr>
            <w:tcW w:w="264"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343EADF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7</w:t>
            </w:r>
          </w:p>
        </w:tc>
        <w:tc>
          <w:tcPr>
            <w:tcW w:w="792"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396C858C">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新技术实施能力达成率</w:t>
            </w:r>
          </w:p>
        </w:tc>
        <w:tc>
          <w:tcPr>
            <w:tcW w:w="1137" w:type="pct"/>
            <w:vMerge w:val="restart"/>
            <w:tcBorders>
              <w:top w:val="single" w:color="000000" w:sz="4" w:space="0"/>
              <w:left w:val="single" w:color="000000" w:sz="4" w:space="0"/>
              <w:bottom w:val="single" w:color="000000" w:sz="4" w:space="0"/>
              <w:right w:val="single" w:color="000000" w:sz="4" w:space="0"/>
            </w:tcBorders>
            <w:shd w:val="clear"/>
            <w:vAlign w:val="center"/>
          </w:tcPr>
          <w:p w14:paraId="6AD15680">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优胜劣汰方式更新公司通用并主流的技术栈。制定技术学习计划并定期组织学习，用好DeepSeek大模型、CozeAI等运维研发一体化平台，提高维护研发工作效率，提升技术竞争力，技术管理（生产线）工具实施计划两个项目中成功使用。</w:t>
            </w:r>
          </w:p>
        </w:tc>
        <w:tc>
          <w:tcPr>
            <w:tcW w:w="371"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68A2ABA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5A2CD34F">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w:t>
            </w:r>
          </w:p>
        </w:tc>
        <w:tc>
          <w:tcPr>
            <w:tcW w:w="785" w:type="pct"/>
            <w:vMerge w:val="restart"/>
            <w:tcBorders>
              <w:top w:val="single" w:color="000000" w:sz="4" w:space="0"/>
              <w:left w:val="single" w:color="000000" w:sz="4" w:space="0"/>
              <w:bottom w:val="single" w:color="000000" w:sz="4" w:space="0"/>
              <w:right w:val="single" w:color="000000" w:sz="4" w:space="0"/>
            </w:tcBorders>
            <w:shd w:val="clear"/>
            <w:vAlign w:val="center"/>
          </w:tcPr>
          <w:p w14:paraId="33D56326">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月度进展、季度评价打分，年度考核。</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2919549F">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1、技术栈和技术选型在新项目研发或已有项目大型改造前进行，针对一项目进行至少一次探讨和汇总不扣分</w:t>
            </w:r>
          </w:p>
        </w:tc>
      </w:tr>
      <w:tr w14:paraId="20A12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35FF876A">
            <w:pPr>
              <w:jc w:val="center"/>
              <w:rPr>
                <w:rFonts w:hint="eastAsia" w:ascii="等线" w:hAnsi="等线" w:eastAsia="等线" w:cs="等线"/>
                <w:b/>
                <w:bCs/>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6DE8E64">
            <w:pPr>
              <w:jc w:val="center"/>
              <w:rPr>
                <w:rFonts w:hint="eastAsia" w:ascii="等线" w:hAnsi="等线" w:eastAsia="等线" w:cs="等线"/>
                <w:i w:val="0"/>
                <w:iCs w:val="0"/>
                <w:color w:val="000000"/>
                <w:sz w:val="22"/>
                <w:szCs w:val="22"/>
                <w:u w:val="none"/>
              </w:rPr>
            </w:pPr>
          </w:p>
        </w:tc>
        <w:tc>
          <w:tcPr>
            <w:tcW w:w="792"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8EDC225">
            <w:pPr>
              <w:jc w:val="left"/>
              <w:rPr>
                <w:rFonts w:hint="eastAsia" w:ascii="等线" w:hAnsi="等线" w:eastAsia="等线" w:cs="等线"/>
                <w:i w:val="0"/>
                <w:iCs w:val="0"/>
                <w:color w:val="000000"/>
                <w:sz w:val="22"/>
                <w:szCs w:val="22"/>
                <w:u w:val="none"/>
              </w:rPr>
            </w:pPr>
          </w:p>
        </w:tc>
        <w:tc>
          <w:tcPr>
            <w:tcW w:w="1137" w:type="pct"/>
            <w:vMerge w:val="continue"/>
            <w:tcBorders>
              <w:top w:val="single" w:color="000000" w:sz="4" w:space="0"/>
              <w:left w:val="single" w:color="000000" w:sz="4" w:space="0"/>
              <w:bottom w:val="single" w:color="000000" w:sz="4" w:space="0"/>
              <w:right w:val="single" w:color="000000" w:sz="4" w:space="0"/>
            </w:tcBorders>
            <w:shd w:val="clear"/>
            <w:vAlign w:val="center"/>
          </w:tcPr>
          <w:p w14:paraId="2FE5F619">
            <w:pPr>
              <w:jc w:val="left"/>
              <w:rPr>
                <w:rFonts w:hint="eastAsia" w:ascii="等线" w:hAnsi="等线" w:eastAsia="等线" w:cs="等线"/>
                <w:i w:val="0"/>
                <w:iCs w:val="0"/>
                <w:color w:val="000000"/>
                <w:sz w:val="22"/>
                <w:szCs w:val="22"/>
                <w:u w:val="none"/>
              </w:rPr>
            </w:pPr>
          </w:p>
        </w:tc>
        <w:tc>
          <w:tcPr>
            <w:tcW w:w="371"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FCA6B35">
            <w:pPr>
              <w:jc w:val="center"/>
              <w:rPr>
                <w:rFonts w:hint="eastAsia" w:ascii="等线" w:hAnsi="等线" w:eastAsia="等线" w:cs="等线"/>
                <w:i w:val="0"/>
                <w:iCs w:val="0"/>
                <w:color w:val="000000"/>
                <w:sz w:val="22"/>
                <w:szCs w:val="22"/>
                <w:u w:val="none"/>
              </w:rPr>
            </w:pPr>
          </w:p>
        </w:tc>
        <w:tc>
          <w:tcPr>
            <w:tcW w:w="413"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39EEE98">
            <w:pPr>
              <w:jc w:val="center"/>
              <w:rPr>
                <w:rFonts w:hint="eastAsia" w:ascii="等线" w:hAnsi="等线" w:eastAsia="等线" w:cs="等线"/>
                <w:i w:val="0"/>
                <w:iCs w:val="0"/>
                <w:color w:val="000000"/>
                <w:sz w:val="22"/>
                <w:szCs w:val="22"/>
                <w:u w:val="none"/>
              </w:rPr>
            </w:pPr>
          </w:p>
        </w:tc>
        <w:tc>
          <w:tcPr>
            <w:tcW w:w="785" w:type="pct"/>
            <w:vMerge w:val="continue"/>
            <w:tcBorders>
              <w:top w:val="single" w:color="000000" w:sz="4" w:space="0"/>
              <w:left w:val="single" w:color="000000" w:sz="4" w:space="0"/>
              <w:bottom w:val="single" w:color="000000" w:sz="4" w:space="0"/>
              <w:right w:val="single" w:color="000000" w:sz="4" w:space="0"/>
            </w:tcBorders>
            <w:shd w:val="clear"/>
            <w:vAlign w:val="center"/>
          </w:tcPr>
          <w:p w14:paraId="6115A501">
            <w:pPr>
              <w:jc w:val="left"/>
              <w:rPr>
                <w:rFonts w:hint="eastAsia" w:ascii="等线" w:hAnsi="等线" w:eastAsia="等线" w:cs="等线"/>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7BCB5C28">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2、有效支持1-2项新开发项目全流程应用70%。有效应用，对产品开发有效提升效率明显，则可适当加分20%。主管打分。</w:t>
            </w:r>
          </w:p>
        </w:tc>
      </w:tr>
      <w:tr w14:paraId="159A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vMerge w:val="continue"/>
            <w:tcBorders>
              <w:top w:val="single" w:color="000000" w:sz="4" w:space="0"/>
              <w:left w:val="single" w:color="000000" w:sz="4" w:space="0"/>
              <w:bottom w:val="single" w:color="000000" w:sz="4" w:space="0"/>
              <w:right w:val="single" w:color="000000" w:sz="4" w:space="0"/>
            </w:tcBorders>
            <w:shd w:val="clear"/>
            <w:vAlign w:val="center"/>
          </w:tcPr>
          <w:p w14:paraId="6D615A55">
            <w:pPr>
              <w:jc w:val="center"/>
              <w:rPr>
                <w:rFonts w:hint="eastAsia" w:ascii="等线" w:hAnsi="等线" w:eastAsia="等线" w:cs="等线"/>
                <w:b/>
                <w:bCs/>
                <w:i w:val="0"/>
                <w:iCs w:val="0"/>
                <w:color w:val="000000"/>
                <w:sz w:val="22"/>
                <w:szCs w:val="22"/>
                <w:u w:val="none"/>
              </w:rPr>
            </w:pPr>
          </w:p>
        </w:tc>
        <w:tc>
          <w:tcPr>
            <w:tcW w:w="264" w:type="pct"/>
            <w:tcBorders>
              <w:top w:val="nil"/>
              <w:left w:val="single" w:color="000000" w:sz="4" w:space="0"/>
              <w:bottom w:val="single" w:color="000000" w:sz="4" w:space="0"/>
              <w:right w:val="single" w:color="000000" w:sz="4" w:space="0"/>
            </w:tcBorders>
            <w:shd w:val="clear"/>
            <w:noWrap/>
            <w:vAlign w:val="center"/>
          </w:tcPr>
          <w:p w14:paraId="598CFF1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8</w:t>
            </w:r>
          </w:p>
        </w:tc>
        <w:tc>
          <w:tcPr>
            <w:tcW w:w="792" w:type="pct"/>
            <w:tcBorders>
              <w:top w:val="single" w:color="000000" w:sz="4" w:space="0"/>
              <w:left w:val="single" w:color="000000" w:sz="4" w:space="0"/>
              <w:bottom w:val="single" w:color="000000" w:sz="4" w:space="0"/>
              <w:right w:val="single" w:color="000000" w:sz="4" w:space="0"/>
            </w:tcBorders>
            <w:shd w:val="clear"/>
            <w:noWrap/>
            <w:vAlign w:val="center"/>
          </w:tcPr>
          <w:p w14:paraId="1395447A">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个人成长提升达成率</w:t>
            </w:r>
          </w:p>
        </w:tc>
        <w:tc>
          <w:tcPr>
            <w:tcW w:w="1137" w:type="pct"/>
            <w:tcBorders>
              <w:top w:val="single" w:color="000000" w:sz="4" w:space="0"/>
              <w:left w:val="single" w:color="000000" w:sz="4" w:space="0"/>
              <w:bottom w:val="single" w:color="000000" w:sz="4" w:space="0"/>
              <w:right w:val="single" w:color="000000" w:sz="4" w:space="0"/>
            </w:tcBorders>
            <w:shd w:val="clear"/>
            <w:vAlign w:val="center"/>
          </w:tcPr>
          <w:p w14:paraId="3D6A340D">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考取1项有关软件产品</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研发、设计、分析、项目管理、</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数据分析、人工智能和大数据</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相关证书。</w:t>
            </w: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27954DD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69DC5F84">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5%</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48A63E44">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公司领导打分、部门主管打分、综合部打分。</w:t>
            </w: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2A2BCC3D">
            <w:pPr>
              <w:keepNext w:val="0"/>
              <w:keepLines w:val="0"/>
              <w:widowControl/>
              <w:suppressLineNumbers w:val="0"/>
              <w:jc w:val="left"/>
              <w:textAlignment w:val="top"/>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1、部门成员一项、主管一项不扣分。</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1、部门成员一项、主管零项扣50%。</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2、部门成员零项、主管一项扣50%。</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3、部门成员和主管总证书2项不扣分。</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4、部门成员和主管总3项，主管至少一项可加20%。</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5、部门成员和主管总4项，主管至少一项可加30%。</w:t>
            </w:r>
            <w:r>
              <w:rPr>
                <w:rFonts w:hint="eastAsia" w:ascii="等线" w:hAnsi="等线" w:eastAsia="等线" w:cs="等线"/>
                <w:i w:val="0"/>
                <w:iCs w:val="0"/>
                <w:color w:val="000000"/>
                <w:kern w:val="0"/>
                <w:sz w:val="22"/>
                <w:szCs w:val="22"/>
                <w:u w:val="none"/>
                <w:bdr w:val="none" w:color="auto" w:sz="0" w:space="0"/>
                <w:lang w:val="en-US" w:eastAsia="zh-CN" w:bidi="ar"/>
              </w:rPr>
              <w:br w:type="textWrapping"/>
            </w:r>
            <w:r>
              <w:rPr>
                <w:rFonts w:hint="eastAsia" w:ascii="等线" w:hAnsi="等线" w:eastAsia="等线" w:cs="等线"/>
                <w:i w:val="0"/>
                <w:iCs w:val="0"/>
                <w:color w:val="000000"/>
                <w:kern w:val="0"/>
                <w:sz w:val="22"/>
                <w:szCs w:val="22"/>
                <w:u w:val="none"/>
                <w:bdr w:val="none" w:color="auto" w:sz="0" w:space="0"/>
                <w:lang w:val="en-US" w:eastAsia="zh-CN" w:bidi="ar"/>
              </w:rPr>
              <w:t>6、部门成员和主管总5项，主管至少两项，可加50%。</w:t>
            </w:r>
          </w:p>
        </w:tc>
      </w:tr>
      <w:tr w14:paraId="668BD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8" w:type="pct"/>
            <w:tcBorders>
              <w:top w:val="single" w:color="000000" w:sz="4" w:space="0"/>
              <w:left w:val="single" w:color="000000" w:sz="4" w:space="0"/>
              <w:bottom w:val="single" w:color="000000" w:sz="4" w:space="0"/>
              <w:right w:val="single" w:color="000000" w:sz="4" w:space="0"/>
            </w:tcBorders>
            <w:shd w:val="clear"/>
            <w:noWrap/>
            <w:vAlign w:val="center"/>
          </w:tcPr>
          <w:p w14:paraId="467139D8">
            <w:pPr>
              <w:keepNext w:val="0"/>
              <w:keepLines w:val="0"/>
              <w:widowControl/>
              <w:suppressLineNumbers w:val="0"/>
              <w:jc w:val="left"/>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bdr w:val="none" w:color="auto" w:sz="0" w:space="0"/>
                <w:lang w:val="en-US" w:eastAsia="zh-CN" w:bidi="ar"/>
              </w:rPr>
              <w:t>指标权重合计</w:t>
            </w:r>
          </w:p>
        </w:tc>
        <w:tc>
          <w:tcPr>
            <w:tcW w:w="264" w:type="pct"/>
            <w:tcBorders>
              <w:top w:val="single" w:color="000000" w:sz="4" w:space="0"/>
              <w:left w:val="single" w:color="000000" w:sz="4" w:space="0"/>
              <w:bottom w:val="single" w:color="000000" w:sz="4" w:space="0"/>
              <w:right w:val="single" w:color="000000" w:sz="4" w:space="0"/>
            </w:tcBorders>
            <w:shd w:val="clear"/>
            <w:noWrap/>
            <w:vAlign w:val="center"/>
          </w:tcPr>
          <w:p w14:paraId="2BD9B58B">
            <w:pPr>
              <w:jc w:val="center"/>
              <w:rPr>
                <w:rFonts w:hint="eastAsia" w:ascii="等线" w:hAnsi="等线" w:eastAsia="等线" w:cs="等线"/>
                <w:i w:val="0"/>
                <w:iCs w:val="0"/>
                <w:color w:val="000000"/>
                <w:sz w:val="22"/>
                <w:szCs w:val="22"/>
                <w:u w:val="none"/>
              </w:rPr>
            </w:pPr>
          </w:p>
        </w:tc>
        <w:tc>
          <w:tcPr>
            <w:tcW w:w="792" w:type="pct"/>
            <w:tcBorders>
              <w:top w:val="single" w:color="000000" w:sz="4" w:space="0"/>
              <w:left w:val="single" w:color="000000" w:sz="4" w:space="0"/>
              <w:bottom w:val="single" w:color="000000" w:sz="4" w:space="0"/>
              <w:right w:val="single" w:color="000000" w:sz="4" w:space="0"/>
            </w:tcBorders>
            <w:shd w:val="clear"/>
            <w:noWrap/>
            <w:vAlign w:val="center"/>
          </w:tcPr>
          <w:p w14:paraId="089B8D17">
            <w:pPr>
              <w:jc w:val="left"/>
              <w:rPr>
                <w:rFonts w:hint="eastAsia" w:ascii="等线" w:hAnsi="等线" w:eastAsia="等线" w:cs="等线"/>
                <w:i w:val="0"/>
                <w:iCs w:val="0"/>
                <w:color w:val="000000"/>
                <w:sz w:val="22"/>
                <w:szCs w:val="22"/>
                <w:u w:val="none"/>
              </w:rPr>
            </w:pPr>
          </w:p>
        </w:tc>
        <w:tc>
          <w:tcPr>
            <w:tcW w:w="1137" w:type="pct"/>
            <w:tcBorders>
              <w:top w:val="single" w:color="000000" w:sz="4" w:space="0"/>
              <w:left w:val="single" w:color="000000" w:sz="4" w:space="0"/>
              <w:bottom w:val="single" w:color="000000" w:sz="4" w:space="0"/>
              <w:right w:val="single" w:color="000000" w:sz="4" w:space="0"/>
            </w:tcBorders>
            <w:shd w:val="clear"/>
            <w:noWrap/>
            <w:vAlign w:val="center"/>
          </w:tcPr>
          <w:p w14:paraId="5A201252">
            <w:pPr>
              <w:jc w:val="left"/>
              <w:rPr>
                <w:rFonts w:hint="eastAsia" w:ascii="等线" w:hAnsi="等线" w:eastAsia="等线" w:cs="等线"/>
                <w:i w:val="0"/>
                <w:iCs w:val="0"/>
                <w:color w:val="000000"/>
                <w:sz w:val="22"/>
                <w:szCs w:val="22"/>
                <w:u w:val="none"/>
              </w:rPr>
            </w:pPr>
          </w:p>
        </w:tc>
        <w:tc>
          <w:tcPr>
            <w:tcW w:w="371" w:type="pct"/>
            <w:tcBorders>
              <w:top w:val="single" w:color="000000" w:sz="4" w:space="0"/>
              <w:left w:val="single" w:color="000000" w:sz="4" w:space="0"/>
              <w:bottom w:val="single" w:color="000000" w:sz="4" w:space="0"/>
              <w:right w:val="single" w:color="000000" w:sz="4" w:space="0"/>
            </w:tcBorders>
            <w:shd w:val="clear"/>
            <w:noWrap/>
            <w:vAlign w:val="center"/>
          </w:tcPr>
          <w:p w14:paraId="10AE780C">
            <w:pPr>
              <w:rPr>
                <w:rFonts w:hint="eastAsia" w:ascii="等线" w:hAnsi="等线" w:eastAsia="等线" w:cs="等线"/>
                <w:i w:val="0"/>
                <w:iCs w:val="0"/>
                <w:color w:val="000000"/>
                <w:sz w:val="22"/>
                <w:szCs w:val="22"/>
                <w:u w:val="none"/>
              </w:rPr>
            </w:pPr>
          </w:p>
        </w:tc>
        <w:tc>
          <w:tcPr>
            <w:tcW w:w="413" w:type="pct"/>
            <w:tcBorders>
              <w:top w:val="single" w:color="000000" w:sz="4" w:space="0"/>
              <w:left w:val="single" w:color="000000" w:sz="4" w:space="0"/>
              <w:bottom w:val="single" w:color="000000" w:sz="4" w:space="0"/>
              <w:right w:val="single" w:color="000000" w:sz="4" w:space="0"/>
            </w:tcBorders>
            <w:shd w:val="clear"/>
            <w:noWrap/>
            <w:vAlign w:val="center"/>
          </w:tcPr>
          <w:p w14:paraId="181129AC">
            <w:pPr>
              <w:keepNext w:val="0"/>
              <w:keepLines w:val="0"/>
              <w:widowControl/>
              <w:suppressLineNumbers w:val="0"/>
              <w:jc w:val="righ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bdr w:val="none" w:color="auto" w:sz="0" w:space="0"/>
                <w:lang w:val="en-US" w:eastAsia="zh-CN" w:bidi="ar"/>
              </w:rPr>
              <w:t>100%</w:t>
            </w:r>
          </w:p>
        </w:tc>
        <w:tc>
          <w:tcPr>
            <w:tcW w:w="785" w:type="pct"/>
            <w:tcBorders>
              <w:top w:val="single" w:color="000000" w:sz="4" w:space="0"/>
              <w:left w:val="single" w:color="000000" w:sz="4" w:space="0"/>
              <w:bottom w:val="single" w:color="000000" w:sz="4" w:space="0"/>
              <w:right w:val="single" w:color="000000" w:sz="4" w:space="0"/>
            </w:tcBorders>
            <w:shd w:val="clear"/>
            <w:vAlign w:val="center"/>
          </w:tcPr>
          <w:p w14:paraId="583423EE">
            <w:pPr>
              <w:rPr>
                <w:rFonts w:hint="eastAsia" w:ascii="等线" w:hAnsi="等线" w:eastAsia="等线" w:cs="等线"/>
                <w:i w:val="0"/>
                <w:iCs w:val="0"/>
                <w:color w:val="000000"/>
                <w:sz w:val="22"/>
                <w:szCs w:val="22"/>
                <w:u w:val="none"/>
              </w:rPr>
            </w:pPr>
          </w:p>
        </w:tc>
        <w:tc>
          <w:tcPr>
            <w:tcW w:w="1026" w:type="pct"/>
            <w:tcBorders>
              <w:top w:val="single" w:color="000000" w:sz="4" w:space="0"/>
              <w:left w:val="single" w:color="000000" w:sz="4" w:space="0"/>
              <w:bottom w:val="single" w:color="000000" w:sz="4" w:space="0"/>
              <w:right w:val="single" w:color="000000" w:sz="4" w:space="0"/>
            </w:tcBorders>
            <w:shd w:val="clear"/>
            <w:vAlign w:val="top"/>
          </w:tcPr>
          <w:p w14:paraId="5AB26CC8">
            <w:pPr>
              <w:jc w:val="left"/>
              <w:rPr>
                <w:rFonts w:hint="eastAsia" w:ascii="等线" w:hAnsi="等线" w:eastAsia="等线" w:cs="等线"/>
                <w:i w:val="0"/>
                <w:iCs w:val="0"/>
                <w:color w:val="000000"/>
                <w:sz w:val="22"/>
                <w:szCs w:val="22"/>
                <w:u w:val="none"/>
              </w:rPr>
            </w:pPr>
          </w:p>
        </w:tc>
      </w:tr>
    </w:tbl>
    <w:p w14:paraId="2CFBB785">
      <w:pPr>
        <w:tabs>
          <w:tab w:val="left" w:pos="2897"/>
        </w:tabs>
        <w:spacing w:line="360" w:lineRule="auto"/>
        <w:ind w:firstLine="480" w:firstLineChars="200"/>
        <w:rPr>
          <w:rFonts w:hint="eastAsia" w:ascii="Arial" w:hAnsi="黑体" w:eastAsia="黑体" w:cs="Arial"/>
          <w:bCs/>
          <w:sz w:val="24"/>
        </w:rPr>
      </w:pPr>
    </w:p>
    <w:p w14:paraId="39E904F5">
      <w:pPr>
        <w:tabs>
          <w:tab w:val="left" w:pos="2897"/>
        </w:tabs>
        <w:spacing w:line="360" w:lineRule="auto"/>
        <w:ind w:firstLine="480" w:firstLineChars="200"/>
        <w:rPr>
          <w:rFonts w:hint="eastAsia" w:ascii="Arial" w:hAnsi="黑体" w:eastAsia="黑体" w:cs="Arial"/>
          <w:bCs/>
          <w:sz w:val="24"/>
        </w:rPr>
      </w:pPr>
      <w:bookmarkStart w:id="29" w:name="_GoBack"/>
      <w:bookmarkEnd w:id="29"/>
    </w:p>
    <w:p w14:paraId="07F57769">
      <w:pPr>
        <w:tabs>
          <w:tab w:val="left" w:pos="2897"/>
        </w:tabs>
        <w:spacing w:line="360" w:lineRule="auto"/>
        <w:ind w:firstLine="480" w:firstLineChars="200"/>
        <w:rPr>
          <w:rFonts w:hint="eastAsia" w:ascii="楷体" w:hAnsi="楷体" w:eastAsia="楷体" w:cs="Arial"/>
          <w:bCs/>
          <w:sz w:val="24"/>
        </w:rPr>
      </w:pPr>
      <w:r>
        <w:rPr>
          <w:rFonts w:hint="eastAsia" w:ascii="Arial" w:hAnsi="黑体" w:eastAsia="黑体" w:cs="Arial"/>
          <w:bCs/>
          <w:sz w:val="24"/>
        </w:rPr>
        <w:t>二</w:t>
      </w:r>
      <w:r>
        <w:rPr>
          <w:rFonts w:ascii="Arial" w:hAnsi="黑体" w:eastAsia="黑体" w:cs="Arial"/>
          <w:bCs/>
          <w:sz w:val="24"/>
        </w:rPr>
        <w:t>、执行日期</w:t>
      </w:r>
    </w:p>
    <w:p w14:paraId="6EF2A42D">
      <w:pPr>
        <w:tabs>
          <w:tab w:val="left" w:pos="2897"/>
        </w:tabs>
        <w:spacing w:line="360" w:lineRule="auto"/>
        <w:ind w:firstLine="480" w:firstLineChars="200"/>
        <w:rPr>
          <w:rFonts w:hint="eastAsia" w:ascii="仿宋" w:hAnsi="仿宋" w:eastAsia="仿宋" w:cs="Arial"/>
          <w:sz w:val="24"/>
        </w:rPr>
      </w:pPr>
      <w:r>
        <w:rPr>
          <w:rFonts w:ascii="仿宋" w:hAnsi="仿宋" w:eastAsia="仿宋" w:cs="Arial"/>
          <w:sz w:val="24"/>
        </w:rPr>
        <w:t>202</w:t>
      </w:r>
      <w:r>
        <w:rPr>
          <w:rFonts w:hint="eastAsia" w:ascii="仿宋" w:hAnsi="仿宋" w:eastAsia="仿宋" w:cs="Arial"/>
          <w:sz w:val="24"/>
        </w:rPr>
        <w:t>5</w:t>
      </w:r>
      <w:r>
        <w:rPr>
          <w:rFonts w:ascii="仿宋" w:hAnsi="仿宋" w:eastAsia="仿宋" w:cs="Arial"/>
          <w:sz w:val="24"/>
        </w:rPr>
        <w:t>年</w:t>
      </w:r>
      <w:r>
        <w:rPr>
          <w:rFonts w:hint="eastAsia" w:ascii="仿宋" w:hAnsi="仿宋" w:eastAsia="仿宋" w:cs="Arial"/>
          <w:sz w:val="24"/>
        </w:rPr>
        <w:t>7</w:t>
      </w:r>
      <w:r>
        <w:rPr>
          <w:rFonts w:ascii="仿宋" w:hAnsi="仿宋" w:eastAsia="仿宋" w:cs="Arial"/>
          <w:sz w:val="24"/>
        </w:rPr>
        <w:t>月1日至202</w:t>
      </w:r>
      <w:r>
        <w:rPr>
          <w:rFonts w:hint="eastAsia" w:ascii="仿宋" w:hAnsi="仿宋" w:eastAsia="仿宋" w:cs="Arial"/>
          <w:sz w:val="24"/>
        </w:rPr>
        <w:t>5</w:t>
      </w:r>
      <w:r>
        <w:rPr>
          <w:rFonts w:ascii="仿宋" w:hAnsi="仿宋" w:eastAsia="仿宋" w:cs="Arial"/>
          <w:sz w:val="24"/>
        </w:rPr>
        <w:t>年12月31日。</w:t>
      </w:r>
    </w:p>
    <w:p w14:paraId="6D91328E">
      <w:pPr>
        <w:spacing w:line="360" w:lineRule="auto"/>
        <w:ind w:firstLine="480" w:firstLineChars="200"/>
        <w:rPr>
          <w:rFonts w:ascii="Arial" w:hAnsi="Arial" w:eastAsia="黑体" w:cs="Arial"/>
          <w:bCs/>
          <w:sz w:val="24"/>
        </w:rPr>
      </w:pPr>
      <w:r>
        <w:rPr>
          <w:rFonts w:hint="eastAsia" w:ascii="Arial" w:hAnsi="黑体" w:eastAsia="黑体" w:cs="Arial"/>
          <w:bCs/>
          <w:sz w:val="24"/>
        </w:rPr>
        <w:t>三、</w:t>
      </w:r>
      <w:r>
        <w:rPr>
          <w:rFonts w:ascii="Arial" w:hAnsi="黑体" w:eastAsia="黑体" w:cs="Arial"/>
          <w:bCs/>
          <w:sz w:val="24"/>
        </w:rPr>
        <w:t>解释权</w:t>
      </w:r>
    </w:p>
    <w:p w14:paraId="764D541D">
      <w:pPr>
        <w:tabs>
          <w:tab w:val="left" w:pos="2897"/>
        </w:tabs>
        <w:spacing w:line="360" w:lineRule="auto"/>
        <w:ind w:firstLine="480" w:firstLineChars="200"/>
        <w:rPr>
          <w:rFonts w:hint="eastAsia" w:ascii="仿宋" w:hAnsi="仿宋" w:eastAsia="仿宋" w:cs="Arial"/>
          <w:sz w:val="24"/>
        </w:rPr>
      </w:pPr>
      <w:r>
        <w:rPr>
          <w:rFonts w:ascii="仿宋" w:hAnsi="仿宋" w:eastAsia="仿宋" w:cs="Arial"/>
          <w:sz w:val="24"/>
        </w:rPr>
        <w:t>本目标责任书解释权归</w:t>
      </w:r>
      <w:r>
        <w:rPr>
          <w:rFonts w:hint="eastAsia" w:ascii="仿宋" w:hAnsi="仿宋" w:eastAsia="仿宋" w:cs="Arial"/>
          <w:sz w:val="24"/>
          <w:highlight w:val="yellow"/>
        </w:rPr>
        <w:t>公司领导层</w:t>
      </w:r>
      <w:r>
        <w:rPr>
          <w:rFonts w:hint="eastAsia" w:ascii="仿宋" w:hAnsi="仿宋" w:eastAsia="仿宋" w:cs="Arial"/>
          <w:sz w:val="24"/>
          <w:highlight w:val="yellow"/>
          <w:lang w:eastAsia="zh-CN"/>
        </w:rPr>
        <w:t>（</w:t>
      </w:r>
      <w:r>
        <w:rPr>
          <w:rFonts w:hint="eastAsia" w:ascii="仿宋" w:hAnsi="仿宋" w:eastAsia="仿宋" w:cs="Arial"/>
          <w:sz w:val="24"/>
          <w:highlight w:val="yellow"/>
          <w:lang w:val="en-US" w:eastAsia="zh-CN"/>
        </w:rPr>
        <w:t>主管</w:t>
      </w:r>
      <w:r>
        <w:rPr>
          <w:rFonts w:hint="eastAsia" w:ascii="仿宋" w:hAnsi="仿宋" w:eastAsia="仿宋" w:cs="Arial"/>
          <w:sz w:val="24"/>
          <w:highlight w:val="yellow"/>
          <w:lang w:eastAsia="zh-CN"/>
        </w:rPr>
        <w:t>）</w:t>
      </w:r>
      <w:r>
        <w:rPr>
          <w:rFonts w:hint="eastAsia" w:ascii="仿宋" w:hAnsi="仿宋" w:eastAsia="仿宋" w:cs="Arial"/>
          <w:sz w:val="24"/>
        </w:rPr>
        <w:t>，如遇重大变化不可抗力情况，可对目标责任书任务进行</w:t>
      </w:r>
      <w:r>
        <w:rPr>
          <w:rFonts w:hint="eastAsia" w:ascii="仿宋" w:hAnsi="仿宋" w:eastAsia="仿宋" w:cs="Arial"/>
          <w:sz w:val="24"/>
          <w:highlight w:val="yellow"/>
        </w:rPr>
        <w:t>适当</w:t>
      </w:r>
      <w:r>
        <w:rPr>
          <w:rFonts w:hint="eastAsia" w:ascii="仿宋" w:hAnsi="仿宋" w:eastAsia="仿宋" w:cs="Arial"/>
          <w:sz w:val="24"/>
        </w:rPr>
        <w:t>调整。</w:t>
      </w:r>
    </w:p>
    <w:p w14:paraId="0FA0D759">
      <w:pPr>
        <w:spacing w:line="360" w:lineRule="auto"/>
        <w:ind w:firstLine="480" w:firstLineChars="200"/>
        <w:rPr>
          <w:rFonts w:hint="eastAsia" w:ascii="Arial" w:hAnsi="黑体" w:eastAsia="黑体" w:cs="Arial"/>
          <w:bCs/>
          <w:sz w:val="24"/>
        </w:rPr>
      </w:pPr>
      <w:r>
        <w:rPr>
          <w:rFonts w:hint="eastAsia" w:ascii="Arial" w:hAnsi="黑体" w:eastAsia="黑体" w:cs="Arial"/>
          <w:bCs/>
          <w:sz w:val="24"/>
        </w:rPr>
        <w:t>四、保密条款</w:t>
      </w:r>
    </w:p>
    <w:p w14:paraId="287219B8">
      <w:pPr>
        <w:tabs>
          <w:tab w:val="left" w:pos="2897"/>
        </w:tabs>
        <w:spacing w:line="360" w:lineRule="auto"/>
        <w:ind w:firstLine="480" w:firstLineChars="200"/>
        <w:rPr>
          <w:rFonts w:hint="eastAsia" w:ascii="仿宋" w:hAnsi="仿宋" w:eastAsia="仿宋" w:cs="Arial"/>
          <w:sz w:val="24"/>
        </w:rPr>
      </w:pPr>
      <w:r>
        <w:rPr>
          <w:rFonts w:hint="eastAsia" w:ascii="仿宋" w:hAnsi="仿宋" w:eastAsia="仿宋" w:cs="Arial"/>
          <w:sz w:val="24"/>
        </w:rPr>
        <w:t>本目标责任书除公司内容使用外，严禁外传，保密要求参照《公司保密协议》执行。</w:t>
      </w:r>
    </w:p>
    <w:p w14:paraId="3C517E03">
      <w:pPr>
        <w:spacing w:line="360" w:lineRule="auto"/>
        <w:ind w:firstLine="480" w:firstLineChars="200"/>
        <w:rPr>
          <w:rFonts w:hint="eastAsia" w:ascii="Arial" w:hAnsi="黑体" w:eastAsia="黑体" w:cs="Arial"/>
          <w:bCs/>
          <w:sz w:val="24"/>
        </w:rPr>
      </w:pPr>
      <w:r>
        <w:rPr>
          <w:rFonts w:hint="eastAsia" w:ascii="Arial" w:hAnsi="黑体" w:eastAsia="黑体" w:cs="Arial"/>
          <w:bCs/>
          <w:sz w:val="24"/>
        </w:rPr>
        <w:t>五、文本备档</w:t>
      </w:r>
    </w:p>
    <w:p w14:paraId="1D5C0E96">
      <w:pPr>
        <w:tabs>
          <w:tab w:val="left" w:pos="2897"/>
        </w:tabs>
        <w:spacing w:line="360" w:lineRule="auto"/>
        <w:ind w:firstLine="480" w:firstLineChars="200"/>
        <w:rPr>
          <w:rFonts w:ascii="Arial" w:hAnsi="Arial" w:eastAsia="黑体" w:cs="Arial"/>
          <w:sz w:val="24"/>
        </w:rPr>
      </w:pPr>
      <w:r>
        <w:rPr>
          <w:rFonts w:ascii="仿宋" w:hAnsi="仿宋" w:eastAsia="仿宋" w:cs="Arial"/>
          <w:sz w:val="24"/>
        </w:rPr>
        <w:t>本</w:t>
      </w:r>
      <w:r>
        <w:rPr>
          <w:rFonts w:hint="eastAsia" w:ascii="仿宋" w:hAnsi="仿宋" w:eastAsia="仿宋" w:cs="Arial"/>
          <w:sz w:val="24"/>
        </w:rPr>
        <w:t>目标</w:t>
      </w:r>
      <w:r>
        <w:rPr>
          <w:rFonts w:ascii="仿宋" w:hAnsi="仿宋" w:eastAsia="仿宋" w:cs="Arial"/>
          <w:sz w:val="24"/>
        </w:rPr>
        <w:t>责任书</w:t>
      </w:r>
      <w:r>
        <w:rPr>
          <w:rFonts w:hint="eastAsia" w:ascii="仿宋" w:hAnsi="仿宋" w:eastAsia="仿宋" w:cs="Arial"/>
          <w:sz w:val="24"/>
        </w:rPr>
        <w:t>壹</w:t>
      </w:r>
      <w:r>
        <w:rPr>
          <w:rFonts w:ascii="仿宋" w:hAnsi="仿宋" w:eastAsia="仿宋" w:cs="Arial"/>
          <w:sz w:val="24"/>
        </w:rPr>
        <w:t>式</w:t>
      </w:r>
      <w:r>
        <w:rPr>
          <w:rFonts w:hint="eastAsia" w:ascii="仿宋" w:hAnsi="仿宋" w:eastAsia="仿宋" w:cs="Arial"/>
          <w:sz w:val="24"/>
        </w:rPr>
        <w:t>贰</w:t>
      </w:r>
      <w:r>
        <w:rPr>
          <w:rFonts w:ascii="仿宋" w:hAnsi="仿宋" w:eastAsia="仿宋" w:cs="Arial"/>
          <w:sz w:val="24"/>
        </w:rPr>
        <w:t>份</w:t>
      </w:r>
      <w:r>
        <w:rPr>
          <w:rFonts w:hint="eastAsia" w:ascii="仿宋" w:hAnsi="仿宋" w:eastAsia="仿宋" w:cs="Arial"/>
          <w:sz w:val="24"/>
        </w:rPr>
        <w:t>，公司和个人各持壹份，具同等法律效力。</w:t>
      </w:r>
    </w:p>
    <w:p w14:paraId="6FA84DA2">
      <w:pPr>
        <w:tabs>
          <w:tab w:val="left" w:pos="2897"/>
        </w:tabs>
        <w:spacing w:line="360" w:lineRule="auto"/>
        <w:ind w:firstLine="480" w:firstLineChars="200"/>
        <w:rPr>
          <w:rFonts w:hint="eastAsia" w:ascii="仿宋" w:hAnsi="仿宋" w:eastAsia="仿宋" w:cs="Arial"/>
          <w:sz w:val="24"/>
        </w:rPr>
      </w:pPr>
    </w:p>
    <w:p w14:paraId="7ACA437B">
      <w:pPr>
        <w:spacing w:line="360" w:lineRule="auto"/>
        <w:ind w:firstLine="4200" w:firstLineChars="1500"/>
        <w:rPr>
          <w:rFonts w:hint="eastAsia" w:ascii="Arial" w:hAnsi="黑体" w:eastAsia="黑体" w:cs="Arial"/>
          <w:sz w:val="28"/>
          <w:szCs w:val="28"/>
        </w:rPr>
      </w:pPr>
    </w:p>
    <w:p w14:paraId="26B72216">
      <w:pPr>
        <w:spacing w:line="360" w:lineRule="auto"/>
        <w:ind w:firstLine="4200" w:firstLineChars="1500"/>
        <w:rPr>
          <w:rFonts w:ascii="Arial" w:hAnsi="Arial" w:eastAsia="黑体" w:cs="Arial"/>
          <w:b/>
          <w:bCs/>
          <w:sz w:val="28"/>
          <w:szCs w:val="28"/>
        </w:rPr>
      </w:pPr>
      <w:r>
        <w:rPr>
          <w:rFonts w:hint="eastAsia" w:ascii="Arial" w:hAnsi="黑体" w:eastAsia="黑体" w:cs="Arial"/>
          <w:sz w:val="28"/>
          <w:szCs w:val="28"/>
        </w:rPr>
        <w:t>公司领导：</w:t>
      </w:r>
      <w:r>
        <w:rPr>
          <w:rFonts w:hint="eastAsia" w:ascii="Arial" w:hAnsi="黑体" w:eastAsia="黑体" w:cs="Arial"/>
          <w:sz w:val="28"/>
          <w:szCs w:val="28"/>
          <w:u w:val="thick"/>
        </w:rPr>
        <w:t xml:space="preserve">             </w:t>
      </w:r>
      <w:r>
        <w:rPr>
          <w:rFonts w:hint="eastAsia" w:ascii="Arial" w:hAnsi="黑体" w:eastAsia="黑体" w:cs="Arial"/>
          <w:sz w:val="28"/>
          <w:szCs w:val="28"/>
        </w:rPr>
        <w:t xml:space="preserve">               </w:t>
      </w:r>
    </w:p>
    <w:p w14:paraId="5AA35E90">
      <w:pPr>
        <w:spacing w:line="360" w:lineRule="auto"/>
        <w:ind w:firstLine="4200" w:firstLineChars="1500"/>
        <w:rPr>
          <w:rFonts w:hint="eastAsia" w:ascii="Arial" w:hAnsi="黑体" w:eastAsia="黑体" w:cs="Arial"/>
          <w:sz w:val="28"/>
          <w:szCs w:val="28"/>
          <w:u w:val="thick"/>
        </w:rPr>
      </w:pPr>
      <w:r>
        <w:rPr>
          <w:rFonts w:hint="eastAsia" w:ascii="Arial" w:hAnsi="黑体" w:eastAsia="黑体" w:cs="Arial"/>
          <w:sz w:val="28"/>
          <w:szCs w:val="28"/>
        </w:rPr>
        <w:t>责 任 人：</w:t>
      </w:r>
      <w:r>
        <w:rPr>
          <w:rFonts w:hint="eastAsia" w:ascii="Arial" w:hAnsi="黑体" w:eastAsia="黑体" w:cs="Arial"/>
          <w:sz w:val="28"/>
          <w:szCs w:val="28"/>
          <w:u w:val="thick"/>
        </w:rPr>
        <w:t xml:space="preserve">             </w:t>
      </w:r>
      <w:r>
        <w:rPr>
          <w:rFonts w:hint="eastAsia" w:ascii="Arial" w:hAnsi="黑体" w:eastAsia="黑体" w:cs="Arial"/>
          <w:sz w:val="28"/>
          <w:szCs w:val="28"/>
          <w:u w:val="thick"/>
        </w:rPr>
        <w:br w:type="textWrapping"/>
      </w:r>
    </w:p>
    <w:p w14:paraId="486F9979">
      <w:pPr>
        <w:spacing w:line="360" w:lineRule="auto"/>
        <w:ind w:firstLine="4200" w:firstLineChars="1500"/>
        <w:rPr>
          <w:rFonts w:ascii="Arial" w:hAnsi="Arial" w:eastAsia="黑体" w:cs="Arial"/>
          <w:sz w:val="28"/>
          <w:szCs w:val="28"/>
        </w:rPr>
      </w:pPr>
      <w:r>
        <w:rPr>
          <w:rFonts w:hint="eastAsia" w:ascii="Arial" w:hAnsi="黑体" w:eastAsia="黑体" w:cs="Arial"/>
          <w:sz w:val="28"/>
          <w:szCs w:val="28"/>
        </w:rPr>
        <w:t>新疆青卫舜源信息科技有限公司</w:t>
      </w:r>
    </w:p>
    <w:p w14:paraId="7C5F84A8">
      <w:pPr>
        <w:spacing w:line="360" w:lineRule="auto"/>
        <w:ind w:firstLine="4480" w:firstLineChars="1600"/>
        <w:rPr>
          <w:rFonts w:hint="eastAsia" w:ascii="Arial" w:hAnsi="黑体" w:eastAsia="黑体" w:cs="Arial"/>
          <w:sz w:val="28"/>
          <w:szCs w:val="28"/>
        </w:rPr>
      </w:pPr>
      <w:r>
        <w:rPr>
          <w:rFonts w:ascii="Arial" w:hAnsi="Arial" w:eastAsia="黑体" w:cs="Arial"/>
          <w:sz w:val="28"/>
          <w:szCs w:val="28"/>
        </w:rPr>
        <w:t>202</w:t>
      </w:r>
      <w:r>
        <w:rPr>
          <w:rFonts w:hint="eastAsia" w:ascii="Arial" w:hAnsi="Arial" w:eastAsia="黑体" w:cs="Arial"/>
          <w:sz w:val="28"/>
          <w:szCs w:val="28"/>
        </w:rPr>
        <w:t>5</w:t>
      </w:r>
      <w:r>
        <w:rPr>
          <w:rFonts w:ascii="Arial" w:hAnsi="黑体" w:eastAsia="黑体" w:cs="Arial"/>
          <w:sz w:val="28"/>
          <w:szCs w:val="28"/>
        </w:rPr>
        <w:t>年</w:t>
      </w:r>
      <w:r>
        <w:rPr>
          <w:rFonts w:hint="eastAsia" w:ascii="Arial" w:hAnsi="Arial" w:eastAsia="黑体" w:cs="Arial"/>
          <w:sz w:val="28"/>
          <w:szCs w:val="28"/>
        </w:rPr>
        <w:t>7</w:t>
      </w:r>
      <w:r>
        <w:rPr>
          <w:rFonts w:ascii="Arial" w:hAnsi="黑体" w:eastAsia="黑体" w:cs="Arial"/>
          <w:sz w:val="28"/>
          <w:szCs w:val="28"/>
        </w:rPr>
        <w:t>月</w:t>
      </w:r>
      <w:r>
        <w:rPr>
          <w:rFonts w:hint="eastAsia" w:ascii="Arial" w:hAnsi="黑体" w:eastAsia="黑体" w:cs="Arial"/>
          <w:sz w:val="28"/>
          <w:szCs w:val="28"/>
        </w:rPr>
        <w:t>1日</w:t>
      </w:r>
    </w:p>
    <w:p w14:paraId="777108BB">
      <w:pPr>
        <w:spacing w:line="360" w:lineRule="auto"/>
        <w:rPr>
          <w:rFonts w:hint="eastAsia" w:ascii="Arial" w:hAnsi="黑体" w:eastAsia="黑体" w:cs="Arial"/>
          <w:b/>
          <w:bCs/>
          <w:sz w:val="28"/>
          <w:szCs w:val="28"/>
        </w:rPr>
        <w:sectPr>
          <w:footerReference r:id="rId6" w:type="default"/>
          <w:pgSz w:w="11906" w:h="16838"/>
          <w:pgMar w:top="1440" w:right="1800" w:bottom="1440" w:left="1800" w:header="851" w:footer="992" w:gutter="0"/>
          <w:pgNumType w:start="1"/>
          <w:cols w:space="720" w:num="1"/>
          <w:docGrid w:type="lines" w:linePitch="312" w:charSpace="0"/>
        </w:sectPr>
      </w:pPr>
    </w:p>
    <w:p w14:paraId="4668D6C2">
      <w:pPr>
        <w:spacing w:line="560" w:lineRule="exact"/>
        <w:ind w:firstLine="560" w:firstLineChars="200"/>
        <w:rPr>
          <w:rFonts w:ascii="Times New Roman" w:hAnsi="Times New Roman" w:eastAsia="方正仿宋_GB2312" w:cs="Times New Roman"/>
          <w:sz w:val="28"/>
          <w:szCs w:val="28"/>
        </w:rPr>
      </w:pPr>
    </w:p>
    <w:sectPr>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5B22707-D69B-4990-960C-9782DC97524C}"/>
  </w:font>
  <w:font w:name="黑体">
    <w:panose1 w:val="02010609060101010101"/>
    <w:charset w:val="86"/>
    <w:family w:val="auto"/>
    <w:pitch w:val="default"/>
    <w:sig w:usb0="800002BF" w:usb1="38CF7CFA" w:usb2="00000016" w:usb3="00000000" w:csb0="00040001" w:csb1="00000000"/>
    <w:embedRegular r:id="rId2" w:fontKey="{9729A011-DAAF-4B00-814F-4618373924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3" w:fontKey="{04F8CCBA-C65F-4788-AE9C-BE746FA2D10C}"/>
  </w:font>
  <w:font w:name="Cambria">
    <w:panose1 w:val="02040503050406030204"/>
    <w:charset w:val="00"/>
    <w:family w:val="roman"/>
    <w:pitch w:val="default"/>
    <w:sig w:usb0="E00006FF" w:usb1="420024FF" w:usb2="02000000" w:usb3="00000000" w:csb0="2000019F" w:csb1="00000000"/>
    <w:embedRegular r:id="rId4" w:fontKey="{E8252368-B5E3-4F61-B1F1-47D24C62A29A}"/>
  </w:font>
  <w:font w:name="华文仿宋">
    <w:panose1 w:val="02010600040101010101"/>
    <w:charset w:val="86"/>
    <w:family w:val="auto"/>
    <w:pitch w:val="default"/>
    <w:sig w:usb0="00000287" w:usb1="080F0000" w:usb2="00000000" w:usb3="00000000" w:csb0="0004009F" w:csb1="DFD70000"/>
    <w:embedRegular r:id="rId5" w:fontKey="{156C27B6-9B76-48BA-84A3-D74DA3CA8EC0}"/>
  </w:font>
  <w:font w:name="方正小标宋_GBK">
    <w:panose1 w:val="02000000000000000000"/>
    <w:charset w:val="86"/>
    <w:family w:val="auto"/>
    <w:pitch w:val="default"/>
    <w:sig w:usb0="A00002BF" w:usb1="38CF7CFA" w:usb2="00082016" w:usb3="00000000" w:csb0="00040001" w:csb1="00000000"/>
    <w:embedRegular r:id="rId6" w:fontKey="{C69955E1-9BB5-4030-9FC0-430C2AA388F4}"/>
  </w:font>
  <w:font w:name="楷体">
    <w:panose1 w:val="02010609060101010101"/>
    <w:charset w:val="86"/>
    <w:family w:val="modern"/>
    <w:pitch w:val="default"/>
    <w:sig w:usb0="800002BF" w:usb1="38CF7CFA" w:usb2="00000016" w:usb3="00000000" w:csb0="00040001" w:csb1="00000000"/>
    <w:embedRegular r:id="rId7" w:fontKey="{F36816F4-CE7B-4F1A-8913-9A753D886735}"/>
  </w:font>
  <w:font w:name="仿宋">
    <w:panose1 w:val="02010609060101010101"/>
    <w:charset w:val="86"/>
    <w:family w:val="modern"/>
    <w:pitch w:val="default"/>
    <w:sig w:usb0="800002BF" w:usb1="38CF7CFA" w:usb2="00000016" w:usb3="00000000" w:csb0="00040001" w:csb1="00000000"/>
    <w:embedRegular r:id="rId8" w:fontKey="{A688B955-26CF-4724-A770-CD52A7A7E473}"/>
  </w:font>
  <w:font w:name="方正小标宋简体">
    <w:altName w:val="黑体"/>
    <w:panose1 w:val="00000000000000000000"/>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9" w:fontKey="{7FA17FAD-6E03-46CB-9336-9EED8C5FD7C3}"/>
  </w:font>
  <w:font w:name="方正小标宋简体">
    <w:altName w:val="黑体"/>
    <w:panose1 w:val="00000000000000000000"/>
    <w:charset w:val="00"/>
    <w:family w:val="auto"/>
    <w:pitch w:val="default"/>
    <w:sig w:usb0="00000000" w:usb1="00000000" w:usb2="00000000" w:usb3="00000000" w:csb0="00000000" w:csb1="00000000"/>
    <w:embedRegular r:id="rId10" w:fontKey="{34D59FF5-A896-4E61-84EF-C2B17CED558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648276"/>
      <w:docPartObj>
        <w:docPartGallery w:val="autotext"/>
      </w:docPartObj>
    </w:sdtPr>
    <w:sdtContent>
      <w:sdt>
        <w:sdtPr>
          <w:id w:val="-1705238520"/>
          <w:docPartObj>
            <w:docPartGallery w:val="autotext"/>
          </w:docPartObj>
        </w:sdtPr>
        <w:sdtContent>
          <w:p w14:paraId="6B94FC53">
            <w:pPr>
              <w:pStyle w:val="5"/>
              <w:ind w:left="2700" w:leftChars="1200" w:hanging="180" w:hangingChars="100"/>
              <w:rPr>
                <w:szCs w:val="18"/>
              </w:rPr>
            </w:pPr>
            <w:r>
              <w:rPr>
                <w:rFonts w:hint="eastAsia" w:ascii="黑体" w:hAnsi="黑体" w:eastAsia="黑体" w:cs="黑体"/>
                <w:szCs w:val="18"/>
                <w:u w:val="single"/>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-47625</wp:posOffset>
                      </wp:positionV>
                      <wp:extent cx="5300980" cy="0"/>
                      <wp:effectExtent l="0" t="19050" r="33655" b="19050"/>
                      <wp:wrapNone/>
                      <wp:docPr id="1004872317" name="直接连接符 3"/>
                      <wp:cNvGraphicFramePr/>
                      <a:graphic xmlns:a="http://schemas.openxmlformats.org/drawingml/2006/main">
                        <a:graphicData uri="http://schemas.microsoft.com/office/word/2010/wordprocessingShape">
                          <wps:wsp>
                            <wps:cNvCnPr/>
                            <wps:spPr>
                              <a:xfrm>
                                <a:off x="0" y="0"/>
                                <a:ext cx="5300663"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o:spt="20" style="position:absolute;left:0pt;margin-left:0pt;margin-top:-3.75pt;height:0pt;width:417.4pt;z-index:251662336;mso-width-relative:page;mso-height-relative:page;" filled="f" stroked="t" coordsize="21600,21600" o:gfxdata="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Ezci3UAAAABgEAAA8AAAAAAAAAAQAgAAAAIgAAAGRycy9kb3ducmV2LnhtbFBLAQIUABQAAAAI&#10;AIdO4kC09cY68QEAALsDAAAOAAAAAAAAAAEAIAAAACMBAABkcnMvZTJvRG9jLnhtbFBLBQYAAAAA&#10;BgAGAFkBAACGBQAAAAA=&#10;">
                      <v:fill on="f" focussize="0,0"/>
                      <v:stroke weight="2.25pt" color="#4874CB [3204]" miterlimit="8" joinstyle="miter"/>
                      <v:imagedata o:title=""/>
                      <o:lock v:ext="edit" aspectratio="f"/>
                    </v:line>
                  </w:pict>
                </mc:Fallback>
              </mc:AlternateContent>
            </w:r>
            <w:r>
              <w:rPr>
                <w:rFonts w:hint="eastAsia"/>
              </w:rPr>
              <w:t xml:space="preserve">          </w:t>
            </w:r>
            <w:r>
              <w:rPr>
                <w:lang w:val="zh-CN"/>
              </w:rPr>
              <w:t xml:space="preserve"> </w:t>
            </w:r>
            <w:r>
              <w:rPr>
                <w:b/>
                <w:bCs/>
                <w:sz w:val="24"/>
              </w:rPr>
              <w:fldChar w:fldCharType="begin"/>
            </w:r>
            <w:r>
              <w:rPr>
                <w:b/>
                <w:bCs/>
              </w:rPr>
              <w:instrText xml:space="preserve">PAGE</w:instrText>
            </w:r>
            <w:r>
              <w:rPr>
                <w:b/>
                <w:bCs/>
                <w:sz w:val="24"/>
              </w:rPr>
              <w:fldChar w:fldCharType="separate"/>
            </w:r>
            <w:r>
              <w:rPr>
                <w:b/>
                <w:bCs/>
                <w:lang w:val="zh-CN"/>
              </w:rPr>
              <w:t>2</w:t>
            </w:r>
            <w:r>
              <w:rPr>
                <w:b/>
                <w:bCs/>
                <w:sz w:val="24"/>
              </w:rPr>
              <w:fldChar w:fldCharType="end"/>
            </w:r>
            <w:r>
              <w:rPr>
                <w:lang w:val="zh-CN"/>
              </w:rPr>
              <w:t xml:space="preserve"> / </w:t>
            </w:r>
            <w:r>
              <w:rPr>
                <w:b/>
                <w:bCs/>
                <w:sz w:val="24"/>
              </w:rPr>
              <w:fldChar w:fldCharType="begin"/>
            </w:r>
            <w:r>
              <w:rPr>
                <w:b/>
                <w:bCs/>
              </w:rPr>
              <w:instrText xml:space="preserve">NUMPAGES</w:instrText>
            </w:r>
            <w:r>
              <w:rPr>
                <w:b/>
                <w:bCs/>
                <w:sz w:val="24"/>
              </w:rPr>
              <w:fldChar w:fldCharType="separate"/>
            </w:r>
            <w:r>
              <w:rPr>
                <w:b/>
                <w:bCs/>
                <w:lang w:val="zh-CN"/>
              </w:rPr>
              <w:t>2</w:t>
            </w:r>
            <w:r>
              <w:rPr>
                <w:b/>
                <w:bCs/>
                <w:sz w:val="24"/>
              </w:rPr>
              <w:fldChar w:fldCharType="end"/>
            </w:r>
            <w:r>
              <w:rPr>
                <w:rFonts w:hint="eastAsia"/>
                <w:b/>
                <w:bCs/>
                <w:sz w:val="24"/>
              </w:rPr>
              <w:t xml:space="preserve">             </w:t>
            </w:r>
            <w:r>
              <w:rPr>
                <w:rFonts w:ascii="华文仿宋" w:hAnsi="华文仿宋" w:eastAsia="华文仿宋" w:cs="黑体"/>
                <w:b/>
                <w:bCs/>
                <w:szCs w:val="18"/>
                <w:highlight w:val="yellow"/>
              </w:rPr>
              <w:t>路虽远行则将至，事虽难做则必成。</w:t>
            </w:r>
          </w:p>
          <w:p w14:paraId="217CA2FC">
            <w:pPr>
              <w:pStyle w:val="4"/>
            </w:pPr>
          </w:p>
        </w:sdtContent>
      </w:sdt>
    </w:sdtContent>
  </w:sdt>
  <w:p w14:paraId="6684644E">
    <w:pPr>
      <w:pStyle w:val="5"/>
      <w:ind w:left="2700" w:leftChars="1200" w:hanging="180" w:hangingChars="100"/>
      <w:rPr>
        <w:szCs w:val="18"/>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93A2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55A046">
    <w:pPr>
      <w:pStyle w:val="4"/>
      <w:jc w:val="center"/>
      <w:rPr>
        <w:rFonts w:ascii="Arial" w:hAnsi="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DD9A80">
                          <w:pPr>
                            <w:pStyle w:val="4"/>
                            <w:jc w:val="center"/>
                            <w:rPr>
                              <w:rFonts w:hint="eastAsia" w:ascii="宋体" w:hAnsi="宋体" w:eastAsia="宋体" w:cs="宋体"/>
                              <w:sz w:val="28"/>
                              <w:szCs w:val="28"/>
                            </w:rPr>
                          </w:pPr>
                          <w:r>
                            <w:rPr>
                              <w:rFonts w:hint="eastAsia" w:ascii="宋体" w:hAnsi="宋体" w:eastAsia="宋体" w:cs="宋体"/>
                              <w:b/>
                              <w:bCs/>
                              <w:kern w:val="0"/>
                              <w:sz w:val="28"/>
                              <w:szCs w:val="28"/>
                            </w:rPr>
                            <w:t xml:space="preserve">- </w:t>
                          </w:r>
                          <w:r>
                            <w:rPr>
                              <w:rFonts w:hint="eastAsia" w:ascii="宋体" w:hAnsi="宋体" w:eastAsia="宋体" w:cs="宋体"/>
                              <w:b/>
                              <w:bCs/>
                              <w:kern w:val="0"/>
                              <w:sz w:val="28"/>
                              <w:szCs w:val="28"/>
                            </w:rPr>
                            <w:fldChar w:fldCharType="begin"/>
                          </w:r>
                          <w:r>
                            <w:rPr>
                              <w:rFonts w:hint="eastAsia" w:ascii="宋体" w:hAnsi="宋体" w:eastAsia="宋体" w:cs="宋体"/>
                              <w:b/>
                              <w:bCs/>
                              <w:kern w:val="0"/>
                              <w:sz w:val="28"/>
                              <w:szCs w:val="28"/>
                            </w:rPr>
                            <w:instrText xml:space="preserve"> PAGE </w:instrText>
                          </w:r>
                          <w:r>
                            <w:rPr>
                              <w:rFonts w:hint="eastAsia" w:ascii="宋体" w:hAnsi="宋体" w:eastAsia="宋体" w:cs="宋体"/>
                              <w:b/>
                              <w:bCs/>
                              <w:kern w:val="0"/>
                              <w:sz w:val="28"/>
                              <w:szCs w:val="28"/>
                            </w:rPr>
                            <w:fldChar w:fldCharType="separate"/>
                          </w:r>
                          <w:r>
                            <w:rPr>
                              <w:rFonts w:hint="eastAsia" w:ascii="宋体" w:hAnsi="宋体" w:eastAsia="宋体" w:cs="宋体"/>
                              <w:b/>
                              <w:bCs/>
                              <w:kern w:val="0"/>
                              <w:sz w:val="28"/>
                              <w:szCs w:val="28"/>
                            </w:rPr>
                            <w:t>2</w:t>
                          </w:r>
                          <w:r>
                            <w:rPr>
                              <w:rFonts w:hint="eastAsia" w:ascii="宋体" w:hAnsi="宋体" w:eastAsia="宋体" w:cs="宋体"/>
                              <w:b/>
                              <w:bCs/>
                              <w:kern w:val="0"/>
                              <w:sz w:val="28"/>
                              <w:szCs w:val="28"/>
                            </w:rPr>
                            <w:fldChar w:fldCharType="end"/>
                          </w:r>
                          <w:r>
                            <w:rPr>
                              <w:rFonts w:hint="eastAsia" w:ascii="宋体" w:hAnsi="宋体" w:eastAsia="宋体" w:cs="宋体"/>
                              <w:b/>
                              <w:bCs/>
                              <w:kern w:val="0"/>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5BDD9A80">
                    <w:pPr>
                      <w:pStyle w:val="4"/>
                      <w:jc w:val="center"/>
                      <w:rPr>
                        <w:rFonts w:hint="eastAsia" w:ascii="宋体" w:hAnsi="宋体" w:eastAsia="宋体" w:cs="宋体"/>
                        <w:sz w:val="28"/>
                        <w:szCs w:val="28"/>
                      </w:rPr>
                    </w:pPr>
                    <w:r>
                      <w:rPr>
                        <w:rFonts w:hint="eastAsia" w:ascii="宋体" w:hAnsi="宋体" w:eastAsia="宋体" w:cs="宋体"/>
                        <w:b/>
                        <w:bCs/>
                        <w:kern w:val="0"/>
                        <w:sz w:val="28"/>
                        <w:szCs w:val="28"/>
                      </w:rPr>
                      <w:t xml:space="preserve">- </w:t>
                    </w:r>
                    <w:r>
                      <w:rPr>
                        <w:rFonts w:hint="eastAsia" w:ascii="宋体" w:hAnsi="宋体" w:eastAsia="宋体" w:cs="宋体"/>
                        <w:b/>
                        <w:bCs/>
                        <w:kern w:val="0"/>
                        <w:sz w:val="28"/>
                        <w:szCs w:val="28"/>
                      </w:rPr>
                      <w:fldChar w:fldCharType="begin"/>
                    </w:r>
                    <w:r>
                      <w:rPr>
                        <w:rFonts w:hint="eastAsia" w:ascii="宋体" w:hAnsi="宋体" w:eastAsia="宋体" w:cs="宋体"/>
                        <w:b/>
                        <w:bCs/>
                        <w:kern w:val="0"/>
                        <w:sz w:val="28"/>
                        <w:szCs w:val="28"/>
                      </w:rPr>
                      <w:instrText xml:space="preserve"> PAGE </w:instrText>
                    </w:r>
                    <w:r>
                      <w:rPr>
                        <w:rFonts w:hint="eastAsia" w:ascii="宋体" w:hAnsi="宋体" w:eastAsia="宋体" w:cs="宋体"/>
                        <w:b/>
                        <w:bCs/>
                        <w:kern w:val="0"/>
                        <w:sz w:val="28"/>
                        <w:szCs w:val="28"/>
                      </w:rPr>
                      <w:fldChar w:fldCharType="separate"/>
                    </w:r>
                    <w:r>
                      <w:rPr>
                        <w:rFonts w:hint="eastAsia" w:ascii="宋体" w:hAnsi="宋体" w:eastAsia="宋体" w:cs="宋体"/>
                        <w:b/>
                        <w:bCs/>
                        <w:kern w:val="0"/>
                        <w:sz w:val="28"/>
                        <w:szCs w:val="28"/>
                      </w:rPr>
                      <w:t>2</w:t>
                    </w:r>
                    <w:r>
                      <w:rPr>
                        <w:rFonts w:hint="eastAsia" w:ascii="宋体" w:hAnsi="宋体" w:eastAsia="宋体" w:cs="宋体"/>
                        <w:b/>
                        <w:bCs/>
                        <w:kern w:val="0"/>
                        <w:sz w:val="28"/>
                        <w:szCs w:val="28"/>
                      </w:rPr>
                      <w:fldChar w:fldCharType="end"/>
                    </w:r>
                    <w:r>
                      <w:rPr>
                        <w:rFonts w:hint="eastAsia" w:ascii="宋体" w:hAnsi="宋体" w:eastAsia="宋体" w:cs="宋体"/>
                        <w:b/>
                        <w:bCs/>
                        <w:kern w:val="0"/>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B9065">
    <w:pPr>
      <w:pStyle w:val="4"/>
    </w:pPr>
  </w:p>
  <w:p w14:paraId="1DEF59A5">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FD39D">
                          <w:pPr>
                            <w:pStyle w:val="4"/>
                          </w:pPr>
                          <w:r>
                            <w:fldChar w:fldCharType="begin"/>
                          </w:r>
                          <w:r>
                            <w:instrText xml:space="preserve"> PAGE  \* MERGEFORMAT </w:instrText>
                          </w:r>
                          <w:r>
                            <w:fldChar w:fldCharType="separate"/>
                          </w:r>
                          <w:r>
                            <w:t>一</w:t>
                          </w:r>
                          <w:r>
                            <w:fldChar w:fldCharType="end"/>
                          </w:r>
                          <w:r>
                            <w:t xml:space="preserve"> / </w:t>
                          </w:r>
                          <w:r>
                            <w:fldChar w:fldCharType="begin"/>
                          </w:r>
                          <w:r>
                            <w:instrText xml:space="preserve"> NUMPAGES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80FD39D">
                    <w:pPr>
                      <w:pStyle w:val="4"/>
                    </w:pPr>
                    <w:r>
                      <w:fldChar w:fldCharType="begin"/>
                    </w:r>
                    <w:r>
                      <w:instrText xml:space="preserve"> PAGE  \* MERGEFORMAT </w:instrText>
                    </w:r>
                    <w:r>
                      <w:fldChar w:fldCharType="separate"/>
                    </w:r>
                    <w:r>
                      <w:t>一</w:t>
                    </w:r>
                    <w:r>
                      <w:fldChar w:fldCharType="end"/>
                    </w:r>
                    <w:r>
                      <w:t xml:space="preserve"> / </w:t>
                    </w:r>
                    <w:r>
                      <w:fldChar w:fldCharType="begin"/>
                    </w:r>
                    <w:r>
                      <w:instrText xml:space="preserve"> NUMPAGES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FE56D">
    <w:pPr>
      <w:pStyle w:val="5"/>
      <w:ind w:left="7140" w:hanging="7140" w:hangingChars="3400"/>
      <w:rPr>
        <w:sz w:val="21"/>
        <w:szCs w:val="21"/>
      </w:rPr>
    </w:pPr>
    <w:r>
      <w:rPr>
        <w:rFonts w:hint="eastAsia" w:ascii="黑体" w:hAnsi="黑体" w:eastAsia="黑体" w:cs="黑体"/>
        <w:sz w:val="21"/>
        <w:szCs w:val="21"/>
        <w:u w:val="single"/>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132715</wp:posOffset>
              </wp:positionV>
              <wp:extent cx="5248275" cy="0"/>
              <wp:effectExtent l="0" t="19050" r="29210" b="19050"/>
              <wp:wrapNone/>
              <wp:docPr id="8664900" name="直接连接符 3"/>
              <wp:cNvGraphicFramePr/>
              <a:graphic xmlns:a="http://schemas.openxmlformats.org/drawingml/2006/main">
                <a:graphicData uri="http://schemas.microsoft.com/office/word/2010/wordprocessingShape">
                  <wps:wsp>
                    <wps:cNvCnPr/>
                    <wps:spPr>
                      <a:xfrm>
                        <a:off x="0" y="0"/>
                        <a:ext cx="5247958"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o:spt="20" style="position:absolute;left:0pt;margin-left:0.05pt;margin-top:10.45pt;height:0pt;width:413.25pt;z-index:251661312;mso-width-relative:page;mso-height-relative:page;" filled="f" stroked="t" coordsize="21600,21600" o:gfxdata="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H/Nh3&#10;0QAAAAYBAAAPAAAAAAAAAAEAIAAAACIAAABkcnMvZG93bnJldi54bWxQSwECFAAUAAAACACHTuJA&#10;H7ZmxO8BAAC4AwAADgAAAAAAAAABACAAAAAgAQAAZHJzL2Uyb0RvYy54bWxQSwUGAAAAAAYABgBZ&#10;AQAAgQUAAAAA&#10;">
              <v:fill on="f" focussize="0,0"/>
              <v:stroke weight="2.25pt" color="#4874CB [3204]"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176B1"/>
    <w:rsid w:val="000F7D61"/>
    <w:rsid w:val="00313824"/>
    <w:rsid w:val="006C309C"/>
    <w:rsid w:val="00756EF1"/>
    <w:rsid w:val="00A61A2F"/>
    <w:rsid w:val="00B203E0"/>
    <w:rsid w:val="00C74DF8"/>
    <w:rsid w:val="00CC2B87"/>
    <w:rsid w:val="00D11589"/>
    <w:rsid w:val="00DB4517"/>
    <w:rsid w:val="00E7233C"/>
    <w:rsid w:val="00EE35E6"/>
    <w:rsid w:val="03E0246C"/>
    <w:rsid w:val="04D45EFE"/>
    <w:rsid w:val="04F64293"/>
    <w:rsid w:val="07AB4678"/>
    <w:rsid w:val="0B1E1EEB"/>
    <w:rsid w:val="0B7F3FC7"/>
    <w:rsid w:val="25456A68"/>
    <w:rsid w:val="26412A44"/>
    <w:rsid w:val="39EA39ED"/>
    <w:rsid w:val="3A354074"/>
    <w:rsid w:val="3C794D3E"/>
    <w:rsid w:val="415176B1"/>
    <w:rsid w:val="42034411"/>
    <w:rsid w:val="428E7427"/>
    <w:rsid w:val="5D656145"/>
    <w:rsid w:val="5D9A4463"/>
    <w:rsid w:val="762C5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footer"/>
    <w:basedOn w:val="1"/>
    <w:link w:val="15"/>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34"/>
    <w:pPr>
      <w:ind w:left="720"/>
      <w:contextualSpacing/>
    </w:pPr>
  </w:style>
  <w:style w:type="character" w:customStyle="1" w:styleId="12">
    <w:name w:val="font31"/>
    <w:basedOn w:val="10"/>
    <w:qFormat/>
    <w:uiPriority w:val="0"/>
    <w:rPr>
      <w:rFonts w:ascii="微软雅黑" w:hAnsi="微软雅黑" w:eastAsia="微软雅黑" w:cs="微软雅黑"/>
      <w:b/>
      <w:bCs/>
      <w:color w:val="000000"/>
      <w:sz w:val="22"/>
      <w:szCs w:val="22"/>
      <w:u w:val="none"/>
    </w:rPr>
  </w:style>
  <w:style w:type="character" w:customStyle="1" w:styleId="13">
    <w:name w:val="font51"/>
    <w:basedOn w:val="10"/>
    <w:qFormat/>
    <w:uiPriority w:val="0"/>
    <w:rPr>
      <w:rFonts w:hint="eastAsia" w:ascii="宋体" w:hAnsi="宋体" w:eastAsia="宋体" w:cs="宋体"/>
      <w:color w:val="FF0000"/>
      <w:sz w:val="22"/>
      <w:szCs w:val="22"/>
      <w:u w:val="none"/>
    </w:rPr>
  </w:style>
  <w:style w:type="character" w:customStyle="1" w:styleId="14">
    <w:name w:val="标题 1 字符"/>
    <w:basedOn w:val="10"/>
    <w:link w:val="2"/>
    <w:uiPriority w:val="0"/>
    <w:rPr>
      <w:rFonts w:asciiTheme="minorHAnsi" w:hAnsiTheme="minorHAnsi" w:eastAsiaTheme="minorEastAsia" w:cstheme="minorBidi"/>
      <w:b/>
      <w:bCs/>
      <w:kern w:val="44"/>
      <w:sz w:val="44"/>
      <w:szCs w:val="44"/>
    </w:rPr>
  </w:style>
  <w:style w:type="character" w:customStyle="1" w:styleId="15">
    <w:name w:val="页脚 字符"/>
    <w:basedOn w:val="10"/>
    <w:link w:val="4"/>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4865</Words>
  <Characters>5278</Characters>
  <Lines>398</Lines>
  <Paragraphs>204</Paragraphs>
  <TotalTime>25</TotalTime>
  <ScaleCrop>false</ScaleCrop>
  <LinksUpToDate>false</LinksUpToDate>
  <CharactersWithSpaces>5447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2025-07-14T04:52:00Z</dcterms:created>
  <dc:creator>yln</dc:creator>
  <cp:lastModifiedBy>炳淮</cp:lastModifiedBy>
  <dcterms:modified xsi:type="dcterms:W3CDTF">2025-07-14T13:16:42Z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6040587ADC864931BE3B4926F1872ABF_13</vt:lpwstr>
  </property>
  <property fmtid="{D5CDD505-2E9C-101B-9397-08002B2CF9AE}" pid="4" name="KSOTemplateDocerSaveRecord">
    <vt:lpwstr>eyJoZGlkIjoiZjg5MWUxOTRkNmMxNTQ0NDU1NjRmNGMxN2ZlNjBhZmQiLCJ1c2VySWQiOiI3MzkxMjExODMifQ==</vt:lpwstr>
  </property>
</Properties>
</file>