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564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both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1206C20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default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  <w:t>{{year}}年巴州学龄前儿童近视防控分析报告</w:t>
      </w:r>
    </w:p>
    <w:p w14:paraId="2C059C2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53C375C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676B95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2FCC75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5728E3B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502BB63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3B3D8F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422FFE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</w:pPr>
    </w:p>
    <w:p w14:paraId="48D2991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0" w:beforeLines="0" w:line="52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highlight w:val="none"/>
          <w:lang w:val="en-US" w:eastAsia="zh-CN"/>
        </w:rPr>
        <w:t>巴州疾病预防控制中心（卫生监督所）</w:t>
      </w:r>
    </w:p>
    <w:p w14:paraId="26A6390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  <w:sectPr>
          <w:footerReference r:id="rId5" w:type="default"/>
          <w:pgSz w:w="11906" w:h="16838"/>
          <w:pgMar w:top="1440" w:right="1706" w:bottom="1440" w:left="1800" w:header="851" w:footer="992" w:gutter="0"/>
          <w:pgNumType w:fmt="decimal" w:start="0"/>
          <w:cols w:space="425" w:num="1"/>
          <w:docGrid w:type="lines" w:linePitch="312" w:charSpace="0"/>
        </w:sect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30"/>
          <w:szCs w:val="30"/>
          <w:lang w:val="en-US" w:eastAsia="zh-CN"/>
        </w:rPr>
        <w:t>{{year}}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0"/>
          <w:szCs w:val="30"/>
          <w:highlight w:val="none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30"/>
          <w:szCs w:val="30"/>
          <w:lang w:val="en-US" w:eastAsia="zh-CN"/>
        </w:rPr>
        <w:t>{{month}}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0"/>
          <w:szCs w:val="30"/>
          <w:highlight w:val="none"/>
        </w:rPr>
        <w:t>月</w:t>
      </w:r>
    </w:p>
    <w:p w14:paraId="56E221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44"/>
          <w:szCs w:val="44"/>
          <w:lang w:val="en-US" w:eastAsia="zh-CN"/>
        </w:rPr>
        <w:t>{{year}}年巴州学龄前儿童近视防控分析报告</w:t>
      </w:r>
    </w:p>
    <w:p w14:paraId="192CC1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-92" w:rightChars="-44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根据《新疆维吾尔自治区综合防控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儿童青少年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近视实施方案》，巴州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卫健委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成立巴州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儿童青少年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近视调查工作领导小组，由巴州疾控中心负责技术指导及质量控制，各县市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疾控中心组织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学生常见病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监测队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进入辖区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监测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学校进行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学龄前儿童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近视、常见病、学校教学生活环境卫生监测工作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现将{{year}}年度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巴州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学龄前儿童近视防控工作汇报如下：</w:t>
      </w:r>
    </w:p>
    <w:p w14:paraId="537EA3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0"/>
          <w:kern w:val="0"/>
          <w:sz w:val="32"/>
          <w:szCs w:val="32"/>
          <w:highlight w:val="none"/>
        </w:rPr>
        <w:t>一、工作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总体情况</w:t>
      </w:r>
    </w:p>
    <w:tbl>
      <w:tblPr>
        <w:tblStyle w:val="9"/>
        <w:tblW w:w="0" w:type="auto"/>
        <w:tblInd w:w="-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2166"/>
        <w:gridCol w:w="2434"/>
        <w:gridCol w:w="2025"/>
      </w:tblGrid>
      <w:tr w14:paraId="6E5C6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2" w:type="dxa"/>
            <w:gridSpan w:val="4"/>
            <w:vAlign w:val="center"/>
          </w:tcPr>
          <w:p w14:paraId="0827097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b w:val="0"/>
                <w:bCs w:val="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5B9BD5" w:themeColor="accent1"/>
                <w:spacing w:val="7"/>
                <w:sz w:val="48"/>
                <w:szCs w:val="48"/>
                <w:vertAlign w:val="baseline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总览</w:t>
            </w:r>
          </w:p>
        </w:tc>
      </w:tr>
      <w:tr w14:paraId="493C3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center"/>
          </w:tcPr>
          <w:p w14:paraId="0C529A1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  <w:t>{{xxs}}所</w:t>
            </w:r>
          </w:p>
        </w:tc>
        <w:tc>
          <w:tcPr>
            <w:tcW w:w="2166" w:type="dxa"/>
            <w:vAlign w:val="center"/>
          </w:tcPr>
          <w:p w14:paraId="0CA1703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  <w:t>{{yjrs}}人</w:t>
            </w:r>
          </w:p>
        </w:tc>
        <w:tc>
          <w:tcPr>
            <w:tcW w:w="2434" w:type="dxa"/>
            <w:vAlign w:val="center"/>
          </w:tcPr>
          <w:p w14:paraId="231CBEF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  <w:t>{{sjrs}}人</w:t>
            </w:r>
          </w:p>
        </w:tc>
        <w:tc>
          <w:tcPr>
            <w:tcW w:w="2025" w:type="dxa"/>
            <w:vAlign w:val="center"/>
          </w:tcPr>
          <w:p w14:paraId="6248952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B050"/>
                <w:spacing w:val="7"/>
                <w:sz w:val="36"/>
                <w:szCs w:val="36"/>
                <w:vertAlign w:val="baseline"/>
                <w:lang w:val="en-US" w:eastAsia="zh-CN"/>
              </w:rPr>
              <w:t>{{wcl}}%</w:t>
            </w:r>
          </w:p>
        </w:tc>
      </w:tr>
      <w:tr w14:paraId="488BE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top"/>
          </w:tcPr>
          <w:p w14:paraId="1A926C0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参与筛查学校数</w:t>
            </w:r>
          </w:p>
        </w:tc>
        <w:tc>
          <w:tcPr>
            <w:tcW w:w="2166" w:type="dxa"/>
            <w:vAlign w:val="top"/>
          </w:tcPr>
          <w:p w14:paraId="7A1FEC5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计划筛查学生数</w:t>
            </w:r>
          </w:p>
        </w:tc>
        <w:tc>
          <w:tcPr>
            <w:tcW w:w="2434" w:type="dxa"/>
            <w:vAlign w:val="top"/>
          </w:tcPr>
          <w:p w14:paraId="0B442CB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实际筛查学生数</w:t>
            </w:r>
          </w:p>
        </w:tc>
        <w:tc>
          <w:tcPr>
            <w:tcW w:w="2025" w:type="dxa"/>
            <w:vAlign w:val="top"/>
          </w:tcPr>
          <w:p w14:paraId="5545E94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学生筛查完成率</w:t>
            </w:r>
          </w:p>
        </w:tc>
      </w:tr>
      <w:tr w14:paraId="439EE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center"/>
          </w:tcPr>
          <w:p w14:paraId="570A1B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{{slbll}}%</w:t>
            </w:r>
          </w:p>
        </w:tc>
        <w:tc>
          <w:tcPr>
            <w:tcW w:w="2166" w:type="dxa"/>
            <w:vAlign w:val="center"/>
          </w:tcPr>
          <w:p w14:paraId="757401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{{lowerbll}}%</w:t>
            </w:r>
          </w:p>
        </w:tc>
        <w:tc>
          <w:tcPr>
            <w:tcW w:w="2434" w:type="dxa"/>
            <w:vAlign w:val="center"/>
          </w:tcPr>
          <w:p w14:paraId="2290EE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{{middlebll}}%</w:t>
            </w:r>
          </w:p>
        </w:tc>
        <w:tc>
          <w:tcPr>
            <w:tcW w:w="2025" w:type="dxa"/>
            <w:vAlign w:val="center"/>
          </w:tcPr>
          <w:p w14:paraId="29E87F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pacing w:val="7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{{servbll}}%</w:t>
            </w:r>
          </w:p>
        </w:tc>
      </w:tr>
      <w:tr w14:paraId="34BC5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</w:tcPr>
          <w:p w14:paraId="3949F70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视力不良检出率</w:t>
            </w:r>
          </w:p>
        </w:tc>
        <w:tc>
          <w:tcPr>
            <w:tcW w:w="2166" w:type="dxa"/>
          </w:tcPr>
          <w:p w14:paraId="0AAA540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低度视力不良检出率</w:t>
            </w:r>
          </w:p>
        </w:tc>
        <w:tc>
          <w:tcPr>
            <w:tcW w:w="2434" w:type="dxa"/>
          </w:tcPr>
          <w:p w14:paraId="31D7DC1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中度视力不良检出率</w:t>
            </w:r>
          </w:p>
        </w:tc>
        <w:tc>
          <w:tcPr>
            <w:tcW w:w="2025" w:type="dxa"/>
          </w:tcPr>
          <w:p w14:paraId="23A1933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重度视力不良检出率</w:t>
            </w:r>
          </w:p>
        </w:tc>
      </w:tr>
      <w:tr w14:paraId="4DC80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center"/>
          </w:tcPr>
          <w:p w14:paraId="48D6F1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  <w:t>{{scxjsl}}%</w:t>
            </w:r>
          </w:p>
        </w:tc>
        <w:tc>
          <w:tcPr>
            <w:tcW w:w="2166" w:type="dxa"/>
            <w:vAlign w:val="center"/>
          </w:tcPr>
          <w:p w14:paraId="647045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  <w:t>{{lowerjsl}}%</w:t>
            </w:r>
          </w:p>
        </w:tc>
        <w:tc>
          <w:tcPr>
            <w:tcW w:w="2434" w:type="dxa"/>
            <w:vAlign w:val="center"/>
          </w:tcPr>
          <w:p w14:paraId="42DCC1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  <w:t>{{middlejsl}}%</w:t>
            </w:r>
          </w:p>
        </w:tc>
        <w:tc>
          <w:tcPr>
            <w:tcW w:w="2025" w:type="dxa"/>
            <w:vAlign w:val="center"/>
          </w:tcPr>
          <w:p w14:paraId="203087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00B050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</w:rPr>
              <w:t>{{hidhjsl}}%</w:t>
            </w:r>
          </w:p>
        </w:tc>
      </w:tr>
      <w:tr w14:paraId="38310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top"/>
          </w:tcPr>
          <w:p w14:paraId="4D16D98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筛查性近视率</w:t>
            </w:r>
          </w:p>
        </w:tc>
        <w:tc>
          <w:tcPr>
            <w:tcW w:w="2166" w:type="dxa"/>
            <w:vAlign w:val="top"/>
          </w:tcPr>
          <w:p w14:paraId="6326A13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低度近视率</w:t>
            </w:r>
          </w:p>
        </w:tc>
        <w:tc>
          <w:tcPr>
            <w:tcW w:w="2434" w:type="dxa"/>
            <w:vAlign w:val="top"/>
          </w:tcPr>
          <w:p w14:paraId="4B57097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中度近视率</w:t>
            </w:r>
          </w:p>
        </w:tc>
        <w:tc>
          <w:tcPr>
            <w:tcW w:w="2025" w:type="dxa"/>
            <w:vAlign w:val="top"/>
          </w:tcPr>
          <w:p w14:paraId="7331FE7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高度近视率</w:t>
            </w:r>
          </w:p>
        </w:tc>
      </w:tr>
      <w:tr w14:paraId="431E6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center"/>
          </w:tcPr>
          <w:p w14:paraId="4F05CC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{{jsqqjcl}}%</w:t>
            </w:r>
          </w:p>
        </w:tc>
        <w:tc>
          <w:tcPr>
            <w:tcW w:w="2166" w:type="dxa"/>
            <w:vAlign w:val="center"/>
          </w:tcPr>
          <w:p w14:paraId="0AAF6E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{{lowerjcl}}%</w:t>
            </w:r>
          </w:p>
        </w:tc>
        <w:tc>
          <w:tcPr>
            <w:tcW w:w="2434" w:type="dxa"/>
            <w:vAlign w:val="center"/>
          </w:tcPr>
          <w:p w14:paraId="363B94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{{highjcl}}%</w:t>
            </w:r>
          </w:p>
        </w:tc>
        <w:tc>
          <w:tcPr>
            <w:tcW w:w="2025" w:type="dxa"/>
            <w:vAlign w:val="top"/>
          </w:tcPr>
          <w:p w14:paraId="5D516C2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{{qdsgjcl}}%</w:t>
            </w:r>
          </w:p>
        </w:tc>
      </w:tr>
      <w:tr w14:paraId="1BAD6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top"/>
          </w:tcPr>
          <w:p w14:paraId="34075283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近视前期检出率</w:t>
            </w:r>
          </w:p>
        </w:tc>
        <w:tc>
          <w:tcPr>
            <w:tcW w:w="2166" w:type="dxa"/>
            <w:vAlign w:val="top"/>
          </w:tcPr>
          <w:p w14:paraId="3E20D3C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FF"/>
                <w:spacing w:val="7"/>
                <w:sz w:val="21"/>
                <w:szCs w:val="21"/>
                <w:vertAlign w:val="baseline"/>
                <w:lang w:val="en-US" w:eastAsia="zh-CN"/>
              </w:rPr>
              <w:t>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度近视率</w:t>
            </w:r>
          </w:p>
        </w:tc>
        <w:tc>
          <w:tcPr>
            <w:tcW w:w="2434" w:type="dxa"/>
            <w:vAlign w:val="top"/>
          </w:tcPr>
          <w:p w14:paraId="6A8468D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高度近视率</w:t>
            </w:r>
          </w:p>
        </w:tc>
        <w:tc>
          <w:tcPr>
            <w:tcW w:w="2025" w:type="dxa"/>
            <w:vAlign w:val="top"/>
          </w:tcPr>
          <w:p w14:paraId="717BE55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轻度散光检出率</w:t>
            </w:r>
          </w:p>
        </w:tc>
      </w:tr>
      <w:tr w14:paraId="3C027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center"/>
          </w:tcPr>
          <w:p w14:paraId="0EAE46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{{yscbbzl}}%se&lt;0</w:t>
            </w:r>
          </w:p>
        </w:tc>
        <w:tc>
          <w:tcPr>
            <w:tcW w:w="2166" w:type="dxa"/>
            <w:vAlign w:val="center"/>
          </w:tcPr>
          <w:p w14:paraId="4130F2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ED7D31" w:themeColor="accent2"/>
                <w:spacing w:val="7"/>
                <w:sz w:val="36"/>
                <w:szCs w:val="36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{{jmqlycl}}%43-44</w:t>
            </w:r>
          </w:p>
        </w:tc>
        <w:tc>
          <w:tcPr>
            <w:tcW w:w="2434" w:type="dxa"/>
            <w:vAlign w:val="center"/>
          </w:tcPr>
          <w:p w14:paraId="74ADF8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napToGrid w:val="0"/>
                <w:color w:val="ED7D31" w:themeColor="accent2"/>
                <w:spacing w:val="7"/>
                <w:kern w:val="0"/>
                <w:sz w:val="36"/>
                <w:szCs w:val="36"/>
                <w:highlight w:val="yellow"/>
                <w:vertAlign w:val="baseline"/>
                <w:lang w:val="en-US" w:eastAsia="zh-CN" w:bidi="ar-SA"/>
                <w14:textFill>
                  <w14:solidFill>
                    <w14:schemeClr w14:val="accent2"/>
                  </w14:solidFill>
                </w14:textFill>
              </w:rPr>
            </w:pPr>
          </w:p>
        </w:tc>
        <w:tc>
          <w:tcPr>
            <w:tcW w:w="2025" w:type="dxa"/>
            <w:vAlign w:val="top"/>
          </w:tcPr>
          <w:p w14:paraId="7DD3F12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76FC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7" w:type="dxa"/>
            <w:vAlign w:val="top"/>
          </w:tcPr>
          <w:p w14:paraId="0996564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远视储备不足率</w:t>
            </w:r>
          </w:p>
        </w:tc>
        <w:tc>
          <w:tcPr>
            <w:tcW w:w="2166" w:type="dxa"/>
            <w:vAlign w:val="top"/>
          </w:tcPr>
          <w:p w14:paraId="6CC8E6E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  <w:t>角膜曲率异常率</w:t>
            </w:r>
          </w:p>
        </w:tc>
        <w:tc>
          <w:tcPr>
            <w:tcW w:w="2434" w:type="dxa"/>
            <w:vAlign w:val="top"/>
          </w:tcPr>
          <w:p w14:paraId="66F5673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highlight w:val="yellow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 w14:paraId="26026DC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77B33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jc w:val="both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36"/>
          <w:szCs w:val="36"/>
          <w:lang w:val="en-US" w:eastAsia="zh-CN"/>
        </w:rPr>
      </w:pPr>
    </w:p>
    <w:p w14:paraId="75F2F3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jc w:val="both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7"/>
          <w:sz w:val="36"/>
          <w:szCs w:val="36"/>
          <w:lang w:val="en-US" w:eastAsia="zh-CN"/>
        </w:rPr>
      </w:pPr>
    </w:p>
    <w:p w14:paraId="60B7C272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ind w:left="589" w:leftChars="0" w:right="-92" w:rightChars="-44" w:hanging="589" w:firstLineChars="0"/>
        <w:textAlignment w:val="baseline"/>
        <w:rPr>
          <w:rFonts w:hint="eastAsia" w:ascii="方正黑体_GBK" w:hAnsi="方正黑体_GBK" w:eastAsia="方正黑体_GBK" w:cs="方正黑体_GBK"/>
          <w:b/>
          <w:bCs/>
          <w:spacing w:val="7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7"/>
          <w:sz w:val="32"/>
          <w:szCs w:val="32"/>
          <w:lang w:val="en-US" w:eastAsia="zh-CN"/>
        </w:rPr>
        <w:t>筛查结果</w:t>
      </w:r>
    </w:p>
    <w:p w14:paraId="630F8E0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textAlignment w:val="baseline"/>
        <w:rPr>
          <w:rFonts w:hint="default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  <w:t>1、视力不良检出率</w:t>
      </w:r>
    </w:p>
    <w:p w14:paraId="2ED689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ind w:firstLine="668" w:firstLineChars="200"/>
        <w:textAlignment w:val="baseline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{{year}}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巴州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学生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近视防控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筛查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有效样本为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yxybs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，视力不良人数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slbls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名，总体视力不良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检出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率为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{{slbll}}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%。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比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lastyear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年视力不良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检出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率（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lastyearbll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%）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{{growthdecline}}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perce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。巴州各县（市）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学龄前儿童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视力不良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检出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率如下表所示。</w:t>
      </w:r>
    </w:p>
    <w:p w14:paraId="125D0F16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{{year}}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年巴州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各县（市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、区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eastAsia="zh-CN"/>
        </w:rPr>
        <w:t>学龄前儿童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视力不良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检出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率</w:t>
      </w:r>
    </w:p>
    <w:tbl>
      <w:tblPr>
        <w:tblStyle w:val="8"/>
        <w:tblW w:w="91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525"/>
        <w:gridCol w:w="1189"/>
        <w:gridCol w:w="828"/>
        <w:gridCol w:w="905"/>
        <w:gridCol w:w="1058"/>
        <w:gridCol w:w="1211"/>
        <w:gridCol w:w="1517"/>
      </w:tblGrid>
      <w:tr w14:paraId="3297C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tblHeader/>
          <w:jc w:val="center"/>
        </w:trPr>
        <w:tc>
          <w:tcPr>
            <w:tcW w:w="1882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EDA3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</w:p>
          <w:p w14:paraId="43FA1C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（市、区）名称</w:t>
            </w:r>
          </w:p>
        </w:tc>
        <w:tc>
          <w:tcPr>
            <w:tcW w:w="525" w:type="dxa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vAlign w:val="center"/>
          </w:tcPr>
          <w:p w14:paraId="6E9F5E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89" w:type="dxa"/>
            <w:tcBorders>
              <w:top w:val="single" w:color="000000" w:sz="8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C4AC3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实际检测人数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06D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视力不良人数</w:t>
            </w:r>
          </w:p>
        </w:tc>
        <w:tc>
          <w:tcPr>
            <w:tcW w:w="90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F5D9B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视力不良检出率</w:t>
            </w:r>
          </w:p>
          <w:p w14:paraId="136F17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D1618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轻度视力不良检出率</w:t>
            </w:r>
          </w:p>
          <w:p w14:paraId="42659E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211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76198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中度视力不良检出率</w:t>
            </w:r>
          </w:p>
          <w:p w14:paraId="28A3EA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  <w:tc>
          <w:tcPr>
            <w:tcW w:w="1517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2CE6C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重度视力不良检出率</w:t>
            </w:r>
          </w:p>
          <w:p w14:paraId="5E6357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（%）</w:t>
            </w:r>
          </w:p>
        </w:tc>
      </w:tr>
      <w:tr w14:paraId="03AAF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40F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{{#each ZbslbljclDataList _merge}}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3B1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24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CF7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04BB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 w:val="0"/>
              <w:spacing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2FBF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 w:val="0"/>
              <w:spacing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4314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 w:val="0"/>
              <w:spacing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238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2C25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99E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{{@xsqu}}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E6D7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EDDC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71A1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CA85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9DFF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F942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1D3D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5745D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BB0C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{{/each}}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761964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FC2658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316AB7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1DE0A7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9D2D12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A2F5A8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70F060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</w:tbl>
    <w:p w14:paraId="18695209">
      <w:pPr>
        <w:rPr>
          <w:rFonts w:hint="default" w:ascii="Times New Roman" w:hAnsi="Times New Roman" w:eastAsia="仿宋_GB2312" w:cs="Times New Roman"/>
        </w:rPr>
      </w:pPr>
    </w:p>
    <w:p w14:paraId="6181F9C2">
      <w:pPr>
        <w:rPr>
          <w:rFonts w:hint="default" w:ascii="Times New Roman" w:hAnsi="Times New Roman" w:eastAsia="仿宋_GB2312" w:cs="Times New Roman"/>
        </w:rPr>
      </w:pPr>
    </w:p>
    <w:p w14:paraId="7FFD0A3B">
      <w:pPr>
        <w:pStyle w:val="7"/>
        <w:rPr>
          <w:rFonts w:hint="eastAsia" w:ascii="Times New Roman" w:hAnsi="Times New Roman" w:eastAsia="仿宋_GB2312" w:cs="Times New Roman"/>
          <w:color w:val="FF0000"/>
          <w:lang w:val="en-US" w:eastAsia="zh-CN"/>
        </w:rPr>
      </w:pPr>
    </w:p>
    <w:p w14:paraId="34FE4D12">
      <w:pPr>
        <w:pStyle w:val="7"/>
        <w:rPr>
          <w:rFonts w:hint="default" w:eastAsia="仿宋_GB2312"/>
          <w:color w:val="FF000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FF0000"/>
          <w:lang w:val="en-US" w:eastAsia="zh-CN"/>
        </w:rPr>
        <w:t>此处根据上方表格中的数据信息进行柱状图和折线图一并呈现。</w:t>
      </w:r>
    </w:p>
    <w:p w14:paraId="01877B52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</w:pPr>
    </w:p>
    <w:p w14:paraId="2203C97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textAlignment w:val="baseline"/>
        <w:rPr>
          <w:rFonts w:hint="eastAsia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  <w:t>2、筛查性近视率</w:t>
      </w:r>
    </w:p>
    <w:p w14:paraId="596580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ind w:firstLine="668" w:firstLineChars="200"/>
        <w:textAlignment w:val="baseline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本次抽样调查的统计指标为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筛查性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近视率。包括远视力检查和屈光检测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近视判定标准为裸眼视力＜5.0且非睫状肌麻痹下电脑验光等效球镜度数＜-0.50D；同时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确认为佩戴角膜塑形镜的受检者计入近视样本。{{year}}年巴州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学龄前儿童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视力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筛查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共{{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slscs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}}人，其中，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筛查性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近视人数{{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s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巴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cxjss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}}人，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筛查性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近视率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scxjsl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}}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比{{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lastyear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}}年（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{{lastyearjsl}}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%）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highlight w:val="yellow"/>
          <w:lang w:val="en-US" w:eastAsia="zh-CN"/>
        </w:rPr>
        <w:t>{{scxgrowthdecline}}</w:t>
      </w:r>
      <w:r>
        <w:rPr>
          <w:rFonts w:hint="eastAsia" w:ascii="Times New Roman" w:hAnsi="Times New Roman" w:eastAsia="仿宋_GB2312" w:cs="Times New Roman"/>
          <w:spacing w:val="7"/>
          <w:sz w:val="32"/>
          <w:szCs w:val="32"/>
          <w:highlight w:val="yellow"/>
          <w:lang w:val="en-US" w:eastAsia="zh-CN"/>
        </w:rPr>
        <w:t>{{scxperce}}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州各县（市）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学龄前儿童近视筛查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率如下表所示。</w:t>
      </w:r>
    </w:p>
    <w:p w14:paraId="573F3589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202X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年巴州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各县（市、区）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eastAsia="zh-CN"/>
        </w:rPr>
        <w:t>学龄前儿童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筛查性近视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率</w:t>
      </w:r>
    </w:p>
    <w:tbl>
      <w:tblPr>
        <w:tblStyle w:val="12"/>
        <w:tblW w:w="50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563"/>
        <w:gridCol w:w="893"/>
        <w:gridCol w:w="1095"/>
        <w:gridCol w:w="1219"/>
        <w:gridCol w:w="1221"/>
        <w:gridCol w:w="1222"/>
        <w:gridCol w:w="1224"/>
      </w:tblGrid>
      <w:tr w14:paraId="3C50B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609" w:type="pct"/>
            <w:vAlign w:val="top"/>
          </w:tcPr>
          <w:p w14:paraId="3BA6AAC7">
            <w:pPr>
              <w:pStyle w:val="11"/>
              <w:spacing w:before="157" w:line="241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  <w:lang w:val="en-US" w:eastAsia="zh-CN"/>
              </w:rPr>
              <w:t>县（市、区）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</w:rPr>
              <w:t>名称</w:t>
            </w:r>
          </w:p>
        </w:tc>
        <w:tc>
          <w:tcPr>
            <w:tcW w:w="331" w:type="pct"/>
            <w:vAlign w:val="top"/>
          </w:tcPr>
          <w:p w14:paraId="3C31E8B2">
            <w:pPr>
              <w:pStyle w:val="11"/>
              <w:spacing w:before="157" w:line="242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"/>
                <w:sz w:val="20"/>
                <w:szCs w:val="20"/>
              </w:rPr>
              <w:t>性别</w:t>
            </w:r>
          </w:p>
        </w:tc>
        <w:tc>
          <w:tcPr>
            <w:tcW w:w="527" w:type="pct"/>
            <w:vAlign w:val="top"/>
          </w:tcPr>
          <w:p w14:paraId="1FC9F97C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4"/>
                <w:sz w:val="20"/>
                <w:szCs w:val="20"/>
              </w:rPr>
              <w:t>实际检测人数</w:t>
            </w:r>
          </w:p>
        </w:tc>
        <w:tc>
          <w:tcPr>
            <w:tcW w:w="646" w:type="pct"/>
            <w:vAlign w:val="top"/>
          </w:tcPr>
          <w:p w14:paraId="032DD5B6">
            <w:pPr>
              <w:pStyle w:val="11"/>
              <w:spacing w:before="157" w:line="241" w:lineRule="auto"/>
              <w:ind w:left="221"/>
              <w:jc w:val="both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筛查性近视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</w:rPr>
              <w:t>人数</w:t>
            </w:r>
          </w:p>
        </w:tc>
        <w:tc>
          <w:tcPr>
            <w:tcW w:w="719" w:type="pct"/>
            <w:vAlign w:val="top"/>
          </w:tcPr>
          <w:p w14:paraId="7B2F0D0A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筛查性近视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</w:rPr>
              <w:t>率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20" w:type="pct"/>
            <w:vAlign w:val="top"/>
          </w:tcPr>
          <w:p w14:paraId="41428948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低度近视率（%）</w:t>
            </w:r>
          </w:p>
        </w:tc>
        <w:tc>
          <w:tcPr>
            <w:tcW w:w="721" w:type="pct"/>
            <w:vAlign w:val="top"/>
          </w:tcPr>
          <w:p w14:paraId="68CD3B65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中度近视率（%）</w:t>
            </w:r>
          </w:p>
        </w:tc>
        <w:tc>
          <w:tcPr>
            <w:tcW w:w="722" w:type="pct"/>
            <w:vAlign w:val="top"/>
          </w:tcPr>
          <w:p w14:paraId="0EB04EBD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高度近视率（%）</w:t>
            </w:r>
          </w:p>
        </w:tc>
      </w:tr>
      <w:tr w14:paraId="76B8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609" w:type="pct"/>
            <w:vAlign w:val="top"/>
          </w:tcPr>
          <w:p w14:paraId="42A6E9D9">
            <w:pPr>
              <w:pStyle w:val="11"/>
              <w:spacing w:before="80" w:line="239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331" w:type="pct"/>
            <w:vAlign w:val="top"/>
          </w:tcPr>
          <w:p w14:paraId="2E6B093C">
            <w:pPr>
              <w:pStyle w:val="11"/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7" w:type="pct"/>
            <w:vAlign w:val="top"/>
          </w:tcPr>
          <w:p w14:paraId="27501221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46" w:type="pct"/>
            <w:vAlign w:val="top"/>
          </w:tcPr>
          <w:p w14:paraId="4F279F25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/>
              </w:rPr>
            </w:pPr>
          </w:p>
        </w:tc>
        <w:tc>
          <w:tcPr>
            <w:tcW w:w="719" w:type="pct"/>
            <w:vAlign w:val="top"/>
          </w:tcPr>
          <w:p w14:paraId="4EDD66E4">
            <w:pPr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pct"/>
            <w:vAlign w:val="top"/>
          </w:tcPr>
          <w:p w14:paraId="48DEE6C7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21" w:type="pct"/>
            <w:vAlign w:val="top"/>
          </w:tcPr>
          <w:p w14:paraId="30B7A1AC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22" w:type="pct"/>
            <w:vAlign w:val="top"/>
          </w:tcPr>
          <w:p w14:paraId="41A7C310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F90C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609" w:type="pct"/>
            <w:vAlign w:val="top"/>
          </w:tcPr>
          <w:p w14:paraId="228DEAC7">
            <w:pPr>
              <w:pStyle w:val="11"/>
              <w:spacing w:before="83" w:line="234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331" w:type="pct"/>
            <w:vAlign w:val="top"/>
          </w:tcPr>
          <w:p w14:paraId="7E2D4DED">
            <w:pPr>
              <w:pStyle w:val="11"/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7" w:type="pct"/>
            <w:vAlign w:val="top"/>
          </w:tcPr>
          <w:p w14:paraId="0877ADF6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6" w:type="pct"/>
            <w:vAlign w:val="top"/>
          </w:tcPr>
          <w:p w14:paraId="1F7B144A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19" w:type="pct"/>
            <w:vAlign w:val="top"/>
          </w:tcPr>
          <w:p w14:paraId="4A4BBB4F">
            <w:pPr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5291008D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721" w:type="pct"/>
            <w:vAlign w:val="top"/>
          </w:tcPr>
          <w:p w14:paraId="19E5A896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722" w:type="pct"/>
            <w:vAlign w:val="top"/>
          </w:tcPr>
          <w:p w14:paraId="48AEB64C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</w:tr>
      <w:tr w14:paraId="2C0F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941" w:type="pct"/>
            <w:gridSpan w:val="2"/>
            <w:vAlign w:val="top"/>
          </w:tcPr>
          <w:p w14:paraId="6763213B">
            <w:pPr>
              <w:pStyle w:val="11"/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7" w:type="pct"/>
            <w:vAlign w:val="top"/>
          </w:tcPr>
          <w:p w14:paraId="083CB2B2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6" w:type="pct"/>
            <w:vAlign w:val="top"/>
          </w:tcPr>
          <w:p w14:paraId="001111B3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19" w:type="pct"/>
            <w:vAlign w:val="top"/>
          </w:tcPr>
          <w:p w14:paraId="2610C268">
            <w:pPr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48EB7768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721" w:type="pct"/>
            <w:vAlign w:val="top"/>
          </w:tcPr>
          <w:p w14:paraId="76FF8BAB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722" w:type="pct"/>
            <w:vAlign w:val="top"/>
          </w:tcPr>
          <w:p w14:paraId="69A6A56D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</w:tr>
    </w:tbl>
    <w:p w14:paraId="75FA096D">
      <w:pPr>
        <w:rPr>
          <w:rFonts w:hint="default" w:ascii="Times New Roman" w:hAnsi="Times New Roman" w:eastAsia="仿宋_GB2312" w:cs="Times New Roman"/>
        </w:rPr>
      </w:pPr>
    </w:p>
    <w:p w14:paraId="38EA385B">
      <w:pPr>
        <w:pStyle w:val="7"/>
        <w:rPr>
          <w:rFonts w:hint="default"/>
        </w:rPr>
      </w:pPr>
      <w:r>
        <w:rPr>
          <w:rFonts w:hint="eastAsia" w:ascii="Times New Roman" w:hAnsi="Times New Roman" w:eastAsia="仿宋_GB2312" w:cs="Times New Roman"/>
          <w:color w:val="FF0000"/>
          <w:lang w:val="en-US" w:eastAsia="zh-CN"/>
        </w:rPr>
        <w:t>此处根据上方表格中的数据信息进行柱状图和折线图一并呈现</w:t>
      </w:r>
    </w:p>
    <w:p w14:paraId="68A08820">
      <w:pPr>
        <w:spacing w:before="312" w:beforeAutospacing="0" w:line="233" w:lineRule="auto"/>
        <w:jc w:val="center"/>
        <w:rPr>
          <w:rFonts w:hint="eastAsia" w:eastAsia="宋体"/>
          <w:lang w:val="en-US" w:eastAsia="zh-CN"/>
        </w:rPr>
      </w:pPr>
      <w:r>
        <w:drawing>
          <wp:inline distT="0" distB="0" distL="114300" distR="114300">
            <wp:extent cx="5010150" cy="2466340"/>
            <wp:effectExtent l="4445" t="4445" r="14605" b="571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</w:t>
      </w:r>
      <w:bookmarkStart w:id="0" w:name="_GoBack"/>
      <w:bookmarkEnd w:id="0"/>
    </w:p>
    <w:p w14:paraId="33DA8FD0">
      <w:pPr>
        <w:spacing w:before="312" w:beforeAutospacing="0" w:line="233" w:lineRule="auto"/>
        <w:jc w:val="center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按照从高到低</w:t>
      </w:r>
    </w:p>
    <w:p w14:paraId="530C6E34">
      <w:pPr>
        <w:spacing w:before="312" w:beforeAutospacing="0" w:line="233" w:lineRule="auto"/>
        <w:ind w:firstLine="668" w:firstLineChars="200"/>
        <w:jc w:val="both"/>
        <w:rPr>
          <w:rFonts w:hint="eastAsia" w:ascii="Times New Roman" w:hAnsi="Times New Roman" w:eastAsia="仿宋_GB2312" w:cs="Times New Roman"/>
          <w:snapToGrid w:val="0"/>
          <w:color w:val="000000"/>
          <w:spacing w:val="7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7"/>
          <w:kern w:val="0"/>
          <w:sz w:val="32"/>
          <w:szCs w:val="32"/>
          <w:lang w:val="en-US" w:eastAsia="zh-CN" w:bidi="ar-SA"/>
        </w:rPr>
        <w:t>通过202X年各县（市）学龄前儿童筛查性近视率示意图可以看出，202X年各县（市）学龄前儿童筛查性近视率平均为xxx%，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7"/>
          <w:kern w:val="0"/>
          <w:sz w:val="32"/>
          <w:szCs w:val="32"/>
          <w:highlight w:val="yellow"/>
          <w:lang w:val="en-US" w:eastAsia="zh-CN" w:bidi="ar-SA"/>
        </w:rPr>
        <w:t>库尔勒市、若羌县学龄前儿童筛查性近视率相对较高，分别为xxx%、xxx%，博湖县学龄前儿童筛查性近视率最低，为xxx%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7"/>
          <w:kern w:val="0"/>
          <w:sz w:val="32"/>
          <w:szCs w:val="32"/>
          <w:lang w:val="en-US" w:eastAsia="zh-CN" w:bidi="ar-SA"/>
        </w:rPr>
        <w:t>。</w:t>
      </w:r>
    </w:p>
    <w:p w14:paraId="752BEC4C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202X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年巴州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各县（市）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eastAsia="zh-CN"/>
        </w:rPr>
        <w:t>学龄前儿童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筛查性近视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率</w:t>
      </w:r>
    </w:p>
    <w:p w14:paraId="4A820F45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</w:p>
    <w:tbl>
      <w:tblPr>
        <w:tblStyle w:val="12"/>
        <w:tblW w:w="50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556"/>
        <w:gridCol w:w="892"/>
        <w:gridCol w:w="1093"/>
        <w:gridCol w:w="1216"/>
        <w:gridCol w:w="1216"/>
        <w:gridCol w:w="1218"/>
        <w:gridCol w:w="1220"/>
      </w:tblGrid>
      <w:tr w14:paraId="21F63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610" w:type="pct"/>
            <w:vAlign w:val="top"/>
          </w:tcPr>
          <w:p w14:paraId="1B24A128">
            <w:pPr>
              <w:pStyle w:val="11"/>
              <w:spacing w:before="157" w:line="241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  <w:lang w:val="en-US" w:eastAsia="zh-CN"/>
              </w:rPr>
              <w:t>县（市、区）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</w:rPr>
              <w:t>名称</w:t>
            </w:r>
          </w:p>
        </w:tc>
        <w:tc>
          <w:tcPr>
            <w:tcW w:w="329" w:type="pct"/>
            <w:vAlign w:val="top"/>
          </w:tcPr>
          <w:p w14:paraId="38386DF8">
            <w:pPr>
              <w:pStyle w:val="11"/>
              <w:spacing w:before="157" w:line="242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"/>
                <w:sz w:val="20"/>
                <w:szCs w:val="20"/>
              </w:rPr>
              <w:t>性别</w:t>
            </w:r>
          </w:p>
        </w:tc>
        <w:tc>
          <w:tcPr>
            <w:tcW w:w="528" w:type="pct"/>
            <w:vAlign w:val="top"/>
          </w:tcPr>
          <w:p w14:paraId="217A01FD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4"/>
                <w:sz w:val="20"/>
                <w:szCs w:val="20"/>
              </w:rPr>
              <w:t>实际检测人数</w:t>
            </w:r>
          </w:p>
        </w:tc>
        <w:tc>
          <w:tcPr>
            <w:tcW w:w="647" w:type="pct"/>
            <w:vAlign w:val="top"/>
          </w:tcPr>
          <w:p w14:paraId="0197E755">
            <w:pPr>
              <w:pStyle w:val="11"/>
              <w:spacing w:before="157" w:line="241" w:lineRule="auto"/>
              <w:ind w:left="221"/>
              <w:jc w:val="both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筛查性近视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</w:rPr>
              <w:t>人数</w:t>
            </w:r>
          </w:p>
        </w:tc>
        <w:tc>
          <w:tcPr>
            <w:tcW w:w="720" w:type="pct"/>
            <w:vAlign w:val="top"/>
          </w:tcPr>
          <w:p w14:paraId="579B3D37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近视前期检出率（%）</w:t>
            </w:r>
          </w:p>
        </w:tc>
        <w:tc>
          <w:tcPr>
            <w:tcW w:w="720" w:type="pct"/>
            <w:vAlign w:val="top"/>
          </w:tcPr>
          <w:p w14:paraId="26881AA5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低度近视率（%）</w:t>
            </w:r>
          </w:p>
        </w:tc>
        <w:tc>
          <w:tcPr>
            <w:tcW w:w="721" w:type="pct"/>
            <w:vAlign w:val="top"/>
          </w:tcPr>
          <w:p w14:paraId="73C70C8B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高度近视率（%）</w:t>
            </w:r>
          </w:p>
        </w:tc>
        <w:tc>
          <w:tcPr>
            <w:tcW w:w="722" w:type="pct"/>
            <w:vAlign w:val="top"/>
          </w:tcPr>
          <w:p w14:paraId="78B17BC9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轻度散光检出率（%）</w:t>
            </w:r>
          </w:p>
        </w:tc>
      </w:tr>
      <w:tr w14:paraId="3A904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610" w:type="pct"/>
            <w:vAlign w:val="top"/>
          </w:tcPr>
          <w:p w14:paraId="5E4FC966">
            <w:pPr>
              <w:pStyle w:val="11"/>
              <w:spacing w:before="80" w:line="239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329" w:type="pct"/>
            <w:vAlign w:val="top"/>
          </w:tcPr>
          <w:p w14:paraId="7F75536B">
            <w:pPr>
              <w:pStyle w:val="11"/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8" w:type="pct"/>
            <w:vAlign w:val="top"/>
          </w:tcPr>
          <w:p w14:paraId="2B66F137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7" w:type="pct"/>
            <w:vAlign w:val="top"/>
          </w:tcPr>
          <w:p w14:paraId="358A3E35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755FA43D">
            <w:pPr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73E126F3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21" w:type="pct"/>
            <w:vAlign w:val="top"/>
          </w:tcPr>
          <w:p w14:paraId="72029579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22" w:type="pct"/>
            <w:vAlign w:val="top"/>
          </w:tcPr>
          <w:p w14:paraId="66C63AB5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BC0C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610" w:type="pct"/>
            <w:vAlign w:val="top"/>
          </w:tcPr>
          <w:p w14:paraId="67150F58">
            <w:pPr>
              <w:pStyle w:val="11"/>
              <w:spacing w:before="83" w:line="234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329" w:type="pct"/>
            <w:vAlign w:val="top"/>
          </w:tcPr>
          <w:p w14:paraId="68FC8B6C">
            <w:pPr>
              <w:pStyle w:val="11"/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8" w:type="pct"/>
            <w:vAlign w:val="top"/>
          </w:tcPr>
          <w:p w14:paraId="44A138FF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7" w:type="pct"/>
            <w:vAlign w:val="top"/>
          </w:tcPr>
          <w:p w14:paraId="12880B65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47659877">
            <w:pPr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5A3A3C1A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721" w:type="pct"/>
            <w:vAlign w:val="top"/>
          </w:tcPr>
          <w:p w14:paraId="5A948E84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722" w:type="pct"/>
            <w:vAlign w:val="top"/>
          </w:tcPr>
          <w:p w14:paraId="2EE52E69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</w:tr>
      <w:tr w14:paraId="4B82A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939" w:type="pct"/>
            <w:gridSpan w:val="2"/>
            <w:vAlign w:val="top"/>
          </w:tcPr>
          <w:p w14:paraId="73419EEB">
            <w:pPr>
              <w:pStyle w:val="11"/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8" w:type="pct"/>
            <w:vAlign w:val="top"/>
          </w:tcPr>
          <w:p w14:paraId="65F03B38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7" w:type="pct"/>
            <w:vAlign w:val="top"/>
          </w:tcPr>
          <w:p w14:paraId="4037A043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59C53841">
            <w:pPr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0BC03E4A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721" w:type="pct"/>
            <w:vAlign w:val="top"/>
          </w:tcPr>
          <w:p w14:paraId="5DE42C50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722" w:type="pct"/>
            <w:vAlign w:val="top"/>
          </w:tcPr>
          <w:p w14:paraId="0B9D0DF8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</w:tr>
      <w:tr w14:paraId="3715C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39" w:type="pct"/>
            <w:gridSpan w:val="2"/>
            <w:vAlign w:val="center"/>
          </w:tcPr>
          <w:p w14:paraId="7B7B6800"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8" w:type="pct"/>
            <w:vAlign w:val="top"/>
          </w:tcPr>
          <w:p w14:paraId="033CB042">
            <w:pPr>
              <w:spacing w:before="111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47" w:type="pct"/>
            <w:vAlign w:val="top"/>
          </w:tcPr>
          <w:p w14:paraId="71DD4620">
            <w:pPr>
              <w:spacing w:before="112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1CF98484">
            <w:pPr>
              <w:spacing w:before="85" w:line="295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20" w:type="pct"/>
            <w:vAlign w:val="top"/>
          </w:tcPr>
          <w:p w14:paraId="791FA905">
            <w:pPr>
              <w:spacing w:before="85" w:line="295" w:lineRule="exact"/>
              <w:jc w:val="center"/>
              <w:rPr>
                <w:rFonts w:hint="eastAsia"/>
              </w:rPr>
            </w:pPr>
          </w:p>
        </w:tc>
        <w:tc>
          <w:tcPr>
            <w:tcW w:w="721" w:type="pct"/>
            <w:vAlign w:val="top"/>
          </w:tcPr>
          <w:p w14:paraId="445E69C4">
            <w:pPr>
              <w:spacing w:before="85" w:line="295" w:lineRule="exact"/>
              <w:jc w:val="center"/>
              <w:rPr>
                <w:rFonts w:hint="eastAsia"/>
              </w:rPr>
            </w:pPr>
          </w:p>
        </w:tc>
        <w:tc>
          <w:tcPr>
            <w:tcW w:w="722" w:type="pct"/>
            <w:vAlign w:val="top"/>
          </w:tcPr>
          <w:p w14:paraId="2B74908F">
            <w:pPr>
              <w:spacing w:before="85" w:line="295" w:lineRule="exact"/>
              <w:jc w:val="center"/>
              <w:rPr>
                <w:rFonts w:hint="eastAsia"/>
              </w:rPr>
            </w:pPr>
          </w:p>
        </w:tc>
      </w:tr>
    </w:tbl>
    <w:p w14:paraId="527C5C51">
      <w:pPr>
        <w:pStyle w:val="7"/>
        <w:rPr>
          <w:rFonts w:hint="eastAsia"/>
          <w:lang w:val="en-US" w:eastAsia="zh-CN"/>
        </w:rPr>
      </w:pPr>
    </w:p>
    <w:p w14:paraId="2A84543C">
      <w:pPr>
        <w:rPr>
          <w:rFonts w:hint="default" w:eastAsia="宋体"/>
          <w:color w:val="FF0000"/>
          <w:lang w:val="en-US" w:eastAsia="zh-CN"/>
        </w:rPr>
      </w:pPr>
      <w:r>
        <w:rPr>
          <w:rFonts w:hint="eastAsia" w:eastAsia="宋体"/>
          <w:color w:val="FF0000"/>
          <w:lang w:val="en-US" w:eastAsia="zh-CN"/>
        </w:rPr>
        <w:t>作图呈现，然后做文字叙述</w:t>
      </w:r>
    </w:p>
    <w:p w14:paraId="1AC5E466">
      <w:pPr>
        <w:spacing w:before="312" w:beforeAutospacing="0" w:line="233" w:lineRule="auto"/>
        <w:ind w:firstLine="668" w:firstLineChars="200"/>
        <w:jc w:val="left"/>
        <w:rPr>
          <w:rFonts w:hint="default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</w:pPr>
      <w:r>
        <w:rPr>
          <w:rFonts w:hint="eastAsia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通过202X</w:t>
      </w:r>
      <w:r>
        <w:rPr>
          <w:rFonts w:hint="default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年巴州各县（市）</w:t>
      </w:r>
      <w:r>
        <w:rPr>
          <w:rFonts w:hint="eastAsia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学龄前儿童筛查性近视</w:t>
      </w:r>
      <w:r>
        <w:rPr>
          <w:rFonts w:hint="default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率</w:t>
      </w:r>
      <w:r>
        <w:rPr>
          <w:rFonts w:hint="eastAsia" w:ascii="Times New Roman" w:hAnsi="Times New Roman" w:eastAsia="仿宋_GB2312" w:cs="Times New Roman"/>
          <w:snapToGrid w:val="0"/>
          <w:color w:val="FF0000"/>
          <w:spacing w:val="7"/>
          <w:kern w:val="0"/>
          <w:sz w:val="32"/>
          <w:szCs w:val="32"/>
          <w:highlight w:val="yellow"/>
          <w:lang w:val="en-US" w:eastAsia="zh-CN" w:bidi="ar-SA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示意图可以看出，近视前期检出率（%）排在前三的XXX县市，低度近视率（%）排在前三的XXX县市，高度近视率（%）排在前三的XXX县市，轻度散光检出率（%）排在前三的XXX县市。</w:t>
      </w:r>
    </w:p>
    <w:p w14:paraId="649D145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afterAutospacing="0" w:line="560" w:lineRule="exact"/>
        <w:textAlignment w:val="baseline"/>
        <w:rPr>
          <w:rFonts w:hint="eastAsia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pacing w:val="7"/>
          <w:sz w:val="32"/>
          <w:szCs w:val="32"/>
          <w:lang w:val="en-US" w:eastAsia="zh-CN"/>
        </w:rPr>
        <w:t>3、关键生理指标筛查情况</w:t>
      </w:r>
    </w:p>
    <w:p w14:paraId="4320622F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202X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>年巴州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各县（市、区）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eastAsia="zh-CN"/>
        </w:rPr>
        <w:t>学龄前儿童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28"/>
          <w:szCs w:val="28"/>
          <w:lang w:val="en-US" w:eastAsia="zh-CN"/>
        </w:rPr>
        <w:t>关键生理指标筛查结果</w:t>
      </w:r>
    </w:p>
    <w:tbl>
      <w:tblPr>
        <w:tblStyle w:val="12"/>
        <w:tblW w:w="57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560"/>
        <w:gridCol w:w="897"/>
        <w:gridCol w:w="1099"/>
        <w:gridCol w:w="1223"/>
        <w:gridCol w:w="1017"/>
        <w:gridCol w:w="1313"/>
        <w:gridCol w:w="1262"/>
        <w:gridCol w:w="1311"/>
      </w:tblGrid>
      <w:tr w14:paraId="1A8AF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531" w:type="pct"/>
            <w:vAlign w:val="top"/>
          </w:tcPr>
          <w:p w14:paraId="7427647C">
            <w:pPr>
              <w:pStyle w:val="11"/>
              <w:spacing w:before="157" w:line="241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  <w:lang w:val="en-US" w:eastAsia="zh-CN"/>
              </w:rPr>
              <w:t>县（市、区）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2"/>
                <w:sz w:val="20"/>
                <w:szCs w:val="20"/>
              </w:rPr>
              <w:t>名称</w:t>
            </w:r>
          </w:p>
        </w:tc>
        <w:tc>
          <w:tcPr>
            <w:tcW w:w="287" w:type="pct"/>
            <w:vAlign w:val="top"/>
          </w:tcPr>
          <w:p w14:paraId="75434FDA">
            <w:pPr>
              <w:pStyle w:val="11"/>
              <w:spacing w:before="157" w:line="242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"/>
                <w:sz w:val="20"/>
                <w:szCs w:val="20"/>
              </w:rPr>
              <w:t>性别</w:t>
            </w:r>
          </w:p>
        </w:tc>
        <w:tc>
          <w:tcPr>
            <w:tcW w:w="461" w:type="pct"/>
            <w:vAlign w:val="top"/>
          </w:tcPr>
          <w:p w14:paraId="0EAFFE59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4"/>
                <w:sz w:val="20"/>
                <w:szCs w:val="20"/>
              </w:rPr>
              <w:t>实际检测人数</w:t>
            </w:r>
          </w:p>
        </w:tc>
        <w:tc>
          <w:tcPr>
            <w:tcW w:w="565" w:type="pct"/>
            <w:vAlign w:val="top"/>
          </w:tcPr>
          <w:p w14:paraId="4606CF9C">
            <w:pPr>
              <w:pStyle w:val="11"/>
              <w:spacing w:before="157" w:line="241" w:lineRule="auto"/>
              <w:ind w:left="221"/>
              <w:jc w:val="both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远视储备不足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</w:rPr>
              <w:t>人数</w:t>
            </w:r>
          </w:p>
        </w:tc>
        <w:tc>
          <w:tcPr>
            <w:tcW w:w="629" w:type="pct"/>
            <w:vAlign w:val="top"/>
          </w:tcPr>
          <w:p w14:paraId="37DB4548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远视储备不足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</w:rPr>
              <w:t>率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23" w:type="pct"/>
            <w:vAlign w:val="top"/>
          </w:tcPr>
          <w:p w14:paraId="25EB73C6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角膜曲率异常人数</w:t>
            </w:r>
          </w:p>
        </w:tc>
        <w:tc>
          <w:tcPr>
            <w:tcW w:w="675" w:type="pct"/>
            <w:vAlign w:val="top"/>
          </w:tcPr>
          <w:p w14:paraId="63E28593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角膜曲率异常率（%）</w:t>
            </w:r>
          </w:p>
        </w:tc>
        <w:tc>
          <w:tcPr>
            <w:tcW w:w="649" w:type="pct"/>
            <w:vAlign w:val="top"/>
          </w:tcPr>
          <w:p w14:paraId="7D66B484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眼轴长度异常增长人数</w:t>
            </w:r>
          </w:p>
        </w:tc>
        <w:tc>
          <w:tcPr>
            <w:tcW w:w="674" w:type="pct"/>
            <w:vAlign w:val="top"/>
          </w:tcPr>
          <w:p w14:paraId="771C1E60">
            <w:pPr>
              <w:pStyle w:val="11"/>
              <w:spacing w:before="157" w:line="241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  <w:t>眼轴长度异常增长率（%）</w:t>
            </w:r>
          </w:p>
        </w:tc>
      </w:tr>
      <w:tr w14:paraId="4E230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531" w:type="pct"/>
            <w:vAlign w:val="top"/>
          </w:tcPr>
          <w:p w14:paraId="32945148">
            <w:pPr>
              <w:pStyle w:val="11"/>
              <w:spacing w:before="80" w:line="239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87" w:type="pct"/>
            <w:vAlign w:val="top"/>
          </w:tcPr>
          <w:p w14:paraId="541C0456">
            <w:pPr>
              <w:pStyle w:val="11"/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461" w:type="pct"/>
            <w:vAlign w:val="top"/>
          </w:tcPr>
          <w:p w14:paraId="4EFAF5E8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65" w:type="pct"/>
            <w:vAlign w:val="top"/>
          </w:tcPr>
          <w:p w14:paraId="1D9B397F">
            <w:pPr>
              <w:spacing w:before="106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29" w:type="pct"/>
            <w:vAlign w:val="top"/>
          </w:tcPr>
          <w:p w14:paraId="02389540">
            <w:pPr>
              <w:spacing w:before="80" w:line="239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3" w:type="pct"/>
            <w:vAlign w:val="top"/>
          </w:tcPr>
          <w:p w14:paraId="20C83FE8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75" w:type="pct"/>
            <w:vAlign w:val="top"/>
          </w:tcPr>
          <w:p w14:paraId="66790692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9" w:type="pct"/>
            <w:vAlign w:val="top"/>
          </w:tcPr>
          <w:p w14:paraId="62240B1C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</w:pPr>
          </w:p>
        </w:tc>
        <w:tc>
          <w:tcPr>
            <w:tcW w:w="674" w:type="pct"/>
            <w:vAlign w:val="top"/>
          </w:tcPr>
          <w:p w14:paraId="57E395F9">
            <w:pPr>
              <w:pStyle w:val="11"/>
              <w:spacing w:before="157" w:line="241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6"/>
                <w:sz w:val="20"/>
                <w:szCs w:val="20"/>
                <w:lang w:val="en-US" w:eastAsia="zh-CN"/>
              </w:rPr>
            </w:pPr>
          </w:p>
        </w:tc>
      </w:tr>
      <w:tr w14:paraId="5FD2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531" w:type="pct"/>
            <w:vAlign w:val="top"/>
          </w:tcPr>
          <w:p w14:paraId="456074E7">
            <w:pPr>
              <w:pStyle w:val="11"/>
              <w:spacing w:before="83" w:line="234" w:lineRule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87" w:type="pct"/>
            <w:vAlign w:val="top"/>
          </w:tcPr>
          <w:p w14:paraId="59FF35E2">
            <w:pPr>
              <w:pStyle w:val="11"/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461" w:type="pct"/>
            <w:vAlign w:val="top"/>
          </w:tcPr>
          <w:p w14:paraId="14F2CBF4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65" w:type="pct"/>
            <w:vAlign w:val="top"/>
          </w:tcPr>
          <w:p w14:paraId="33CB5ADD">
            <w:pPr>
              <w:spacing w:before="109" w:line="196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29" w:type="pct"/>
            <w:vAlign w:val="top"/>
          </w:tcPr>
          <w:p w14:paraId="24A33DB4">
            <w:pPr>
              <w:spacing w:before="83" w:line="234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3" w:type="pct"/>
            <w:vAlign w:val="top"/>
          </w:tcPr>
          <w:p w14:paraId="589CFC59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675" w:type="pct"/>
            <w:vAlign w:val="top"/>
          </w:tcPr>
          <w:p w14:paraId="03CC8870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649" w:type="pct"/>
            <w:vAlign w:val="top"/>
          </w:tcPr>
          <w:p w14:paraId="0F9B9215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  <w:tc>
          <w:tcPr>
            <w:tcW w:w="674" w:type="pct"/>
            <w:vAlign w:val="top"/>
          </w:tcPr>
          <w:p w14:paraId="1AAD5FA1">
            <w:pPr>
              <w:spacing w:before="83" w:line="234" w:lineRule="auto"/>
              <w:jc w:val="center"/>
              <w:rPr>
                <w:rFonts w:hint="eastAsia"/>
              </w:rPr>
            </w:pPr>
          </w:p>
        </w:tc>
      </w:tr>
      <w:tr w14:paraId="00EE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819" w:type="pct"/>
            <w:gridSpan w:val="2"/>
            <w:vAlign w:val="top"/>
          </w:tcPr>
          <w:p w14:paraId="296DA425">
            <w:pPr>
              <w:pStyle w:val="11"/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461" w:type="pct"/>
            <w:vAlign w:val="top"/>
          </w:tcPr>
          <w:p w14:paraId="0252E336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65" w:type="pct"/>
            <w:vAlign w:val="top"/>
          </w:tcPr>
          <w:p w14:paraId="0D057FAC">
            <w:pPr>
              <w:spacing w:before="106" w:line="19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629" w:type="pct"/>
            <w:vAlign w:val="top"/>
          </w:tcPr>
          <w:p w14:paraId="62236545">
            <w:pPr>
              <w:spacing w:before="78" w:line="235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23" w:type="pct"/>
            <w:vAlign w:val="top"/>
          </w:tcPr>
          <w:p w14:paraId="0BCD66E3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675" w:type="pct"/>
            <w:vAlign w:val="top"/>
          </w:tcPr>
          <w:p w14:paraId="2D506EC1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649" w:type="pct"/>
            <w:vAlign w:val="top"/>
          </w:tcPr>
          <w:p w14:paraId="55566002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  <w:tc>
          <w:tcPr>
            <w:tcW w:w="674" w:type="pct"/>
            <w:vAlign w:val="top"/>
          </w:tcPr>
          <w:p w14:paraId="4077628C">
            <w:pPr>
              <w:spacing w:before="78" w:line="235" w:lineRule="auto"/>
              <w:jc w:val="center"/>
              <w:rPr>
                <w:rFonts w:hint="eastAsia"/>
              </w:rPr>
            </w:pPr>
          </w:p>
        </w:tc>
      </w:tr>
    </w:tbl>
    <w:p w14:paraId="22BE4879">
      <w:pPr>
        <w:spacing w:before="312" w:beforeAutospacing="0" w:line="233" w:lineRule="auto"/>
        <w:jc w:val="center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</w:p>
    <w:p w14:paraId="284FBE9B">
      <w:pPr>
        <w:rPr>
          <w:rFonts w:hint="default" w:eastAsia="宋体"/>
          <w:color w:val="FF0000"/>
          <w:lang w:val="en-US" w:eastAsia="zh-CN"/>
        </w:rPr>
      </w:pPr>
      <w:r>
        <w:rPr>
          <w:rFonts w:hint="eastAsia" w:eastAsia="宋体"/>
          <w:color w:val="FF0000"/>
          <w:lang w:val="en-US" w:eastAsia="zh-CN"/>
        </w:rPr>
        <w:t>作图呈现，然后做文字叙述</w:t>
      </w:r>
    </w:p>
    <w:p w14:paraId="7099E566"/>
    <w:p w14:paraId="6C1B79C6">
      <w:pPr>
        <w:spacing w:before="312" w:beforeAutospacing="0" w:line="233" w:lineRule="auto"/>
        <w:jc w:val="left"/>
        <w:rPr>
          <w:rFonts w:hint="default" w:ascii="Times New Roman" w:hAnsi="Times New Roman" w:eastAsia="仿宋_GB2312" w:cs="Times New Roman"/>
          <w:spacing w:val="-5"/>
          <w:sz w:val="36"/>
          <w:szCs w:val="36"/>
          <w:lang w:val="en-US"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spacing w:val="-2"/>
          <w:sz w:val="32"/>
          <w:szCs w:val="32"/>
          <w:lang w:val="en-US"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通过202X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32"/>
          <w:szCs w:val="32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年巴州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32"/>
          <w:szCs w:val="32"/>
          <w:lang w:val="en-US"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各县（市、区）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32"/>
          <w:szCs w:val="32"/>
          <w:lang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学龄前儿童</w:t>
      </w:r>
      <w:r>
        <w:rPr>
          <w:rFonts w:hint="eastAsia" w:ascii="Times New Roman" w:hAnsi="Times New Roman" w:eastAsia="仿宋_GB2312" w:cs="Times New Roman"/>
          <w:b/>
          <w:bCs/>
          <w:spacing w:val="-2"/>
          <w:sz w:val="32"/>
          <w:szCs w:val="32"/>
          <w:lang w:val="en-US"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  <w:t>关键生理指标筛查结果示意图可以看出远视储备不足率（%）较高的县市有：前三位；角膜曲率异常率（%）较高的县市有：前三位；眼轴长度异常增长率（%）较高的县市有：前三位。远视储备不足率（%）较低的县市有：前三位；角膜曲率异常率（%）较低的县市有：前三位；眼轴长度异常增长率（%）较低的县市有：前三位</w:t>
      </w:r>
    </w:p>
    <w:p w14:paraId="375E6EAC">
      <w:pPr>
        <w:spacing w:before="312" w:beforeAutospacing="0" w:line="233" w:lineRule="auto"/>
        <w:jc w:val="left"/>
        <w:rPr>
          <w:rFonts w:hint="default" w:ascii="Times New Roman" w:hAnsi="Times New Roman" w:eastAsia="仿宋_GB2312" w:cs="Times New Roman"/>
          <w:spacing w:val="-5"/>
          <w:sz w:val="36"/>
          <w:szCs w:val="36"/>
          <w:lang w:val="en-US" w:eastAsia="zh-CN"/>
          <w14:textFill>
            <w14:gradFill>
              <w14:gsLst>
                <w14:gs w14:pos="50000">
                  <w14:srgbClr w14:val="1F5FBF"/>
                </w14:gs>
                <w14:gs w14:pos="0">
                  <w14:srgbClr w14:val="1486CB"/>
                </w14:gs>
                <w14:gs w14:pos="100000">
                  <w14:srgbClr w14:val="2A34B2"/>
                </w14:gs>
              </w14:gsLst>
              <w14:lin w14:ang="5400000" w14:scaled="1"/>
            </w14:gradFill>
          </w14:textFill>
        </w:rPr>
      </w:pPr>
    </w:p>
    <w:p w14:paraId="04740CB2"/>
    <w:p w14:paraId="64FB4FB0">
      <w:pPr>
        <w:pStyle w:val="7"/>
        <w:rPr>
          <w:rFonts w:hint="eastAsia"/>
          <w:lang w:val="en-US" w:eastAsia="zh-CN"/>
        </w:rPr>
      </w:pPr>
    </w:p>
    <w:p w14:paraId="57C570CB"/>
    <w:p w14:paraId="6FD74E04">
      <w:pPr>
        <w:bidi w:val="0"/>
        <w:rPr>
          <w:rFonts w:hint="default" w:ascii="Arial" w:hAnsi="Arial" w:eastAsia="Arial" w:cs="Arial"/>
          <w:snapToGrid w:val="0"/>
          <w:color w:val="000000"/>
          <w:kern w:val="0"/>
          <w:sz w:val="21"/>
          <w:szCs w:val="21"/>
          <w:lang w:val="en-US" w:eastAsia="zh-CN" w:bidi="ar-SA"/>
        </w:rPr>
      </w:pPr>
    </w:p>
    <w:p w14:paraId="3C2EEDCF">
      <w:pPr>
        <w:bidi w:val="0"/>
        <w:rPr>
          <w:rFonts w:hint="default"/>
          <w:lang w:val="en-US" w:eastAsia="zh-CN"/>
        </w:rPr>
      </w:pPr>
    </w:p>
    <w:p w14:paraId="0C14A874">
      <w:pPr>
        <w:bidi w:val="0"/>
        <w:rPr>
          <w:rFonts w:hint="default"/>
          <w:lang w:val="en-US" w:eastAsia="zh-CN"/>
        </w:rPr>
      </w:pPr>
    </w:p>
    <w:p w14:paraId="400ADC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巴州疾控中心（州卫生监督所）</w:t>
      </w:r>
    </w:p>
    <w:p w14:paraId="6634F6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center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 202X年X月X日</w:t>
      </w:r>
    </w:p>
    <w:sectPr>
      <w:footerReference r:id="rId6" w:type="default"/>
      <w:pgSz w:w="11906" w:h="16838"/>
      <w:pgMar w:top="1440" w:right="1706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221BB75-5AC8-422F-99BE-8CB77E1BBEE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8EB5893-1636-49B3-A33B-959234B66FF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A80693D-A327-4E45-9275-E88AE80524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0FD48EA-D93A-4A4F-B7C3-614060592111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45DA66CF-B26F-4F58-A1DC-E05FF1695BB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F004A994-81C5-49D7-ABA1-FBBDB009368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41868">
    <w:pPr>
      <w:spacing w:line="169" w:lineRule="auto"/>
      <w:ind w:left="4130"/>
      <w:rPr>
        <w:rFonts w:hint="default" w:ascii="仿宋" w:hAnsi="仿宋" w:eastAsia="仿宋" w:cs="仿宋"/>
        <w:sz w:val="18"/>
        <w:szCs w:val="18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5E4EC0">
    <w:pPr>
      <w:spacing w:line="169" w:lineRule="auto"/>
      <w:ind w:left="4130"/>
      <w:rPr>
        <w:rFonts w:hint="default" w:ascii="仿宋" w:hAnsi="仿宋" w:eastAsia="仿宋" w:cs="仿宋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C1F91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C1F91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DF9EDA"/>
    <w:multiLevelType w:val="singleLevel"/>
    <w:tmpl w:val="D8DF9EDA"/>
    <w:lvl w:ilvl="0" w:tentative="0">
      <w:start w:val="2"/>
      <w:numFmt w:val="chineseCounting"/>
      <w:suff w:val="nothing"/>
      <w:lvlText w:val="%1、"/>
      <w:lvlJc w:val="left"/>
      <w:pPr>
        <w:ind w:left="58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ZWM1ZGE3NGVmOTM4ZWJkZWQyNmM4Y2Q4ZGJjMTcifQ=="/>
    <w:docVar w:name="KSO_WPS_MARK_KEY" w:val="3652b374-2c7e-4f4b-a455-d9b3e0d9554d"/>
  </w:docVars>
  <w:rsids>
    <w:rsidRoot w:val="1ACF68D4"/>
    <w:rsid w:val="009F2E6D"/>
    <w:rsid w:val="010333FC"/>
    <w:rsid w:val="01395070"/>
    <w:rsid w:val="01461A33"/>
    <w:rsid w:val="0194674A"/>
    <w:rsid w:val="01C85FE0"/>
    <w:rsid w:val="02C71BFF"/>
    <w:rsid w:val="03125B78"/>
    <w:rsid w:val="035B751F"/>
    <w:rsid w:val="03A34A22"/>
    <w:rsid w:val="05065269"/>
    <w:rsid w:val="0627193B"/>
    <w:rsid w:val="065D535C"/>
    <w:rsid w:val="06DF104C"/>
    <w:rsid w:val="07246091"/>
    <w:rsid w:val="078A0848"/>
    <w:rsid w:val="07E51AAD"/>
    <w:rsid w:val="0808754A"/>
    <w:rsid w:val="085A5FF7"/>
    <w:rsid w:val="086724C2"/>
    <w:rsid w:val="089F1C5C"/>
    <w:rsid w:val="08E73FB1"/>
    <w:rsid w:val="09FE6E56"/>
    <w:rsid w:val="0A5151D8"/>
    <w:rsid w:val="0A8C0317"/>
    <w:rsid w:val="0A9B46A5"/>
    <w:rsid w:val="0B2B3C7B"/>
    <w:rsid w:val="0B957346"/>
    <w:rsid w:val="0C191D25"/>
    <w:rsid w:val="0C7036F0"/>
    <w:rsid w:val="0CC51EAD"/>
    <w:rsid w:val="0DC91529"/>
    <w:rsid w:val="0E1771D2"/>
    <w:rsid w:val="0EDE1004"/>
    <w:rsid w:val="0EE06B2A"/>
    <w:rsid w:val="0EF42E85"/>
    <w:rsid w:val="0F1D7D7F"/>
    <w:rsid w:val="0F2904D1"/>
    <w:rsid w:val="0F954E48"/>
    <w:rsid w:val="0F9A13CF"/>
    <w:rsid w:val="0FA97864"/>
    <w:rsid w:val="103F3D25"/>
    <w:rsid w:val="104355C3"/>
    <w:rsid w:val="110034B4"/>
    <w:rsid w:val="11515ABE"/>
    <w:rsid w:val="11CB3AC2"/>
    <w:rsid w:val="1299596E"/>
    <w:rsid w:val="13A4281C"/>
    <w:rsid w:val="13AD4E86"/>
    <w:rsid w:val="13EA4C70"/>
    <w:rsid w:val="14327E28"/>
    <w:rsid w:val="14340126"/>
    <w:rsid w:val="143C0CA7"/>
    <w:rsid w:val="14641FAC"/>
    <w:rsid w:val="148E5FA6"/>
    <w:rsid w:val="1525173B"/>
    <w:rsid w:val="15DB3445"/>
    <w:rsid w:val="15F335E7"/>
    <w:rsid w:val="1695469E"/>
    <w:rsid w:val="16D36F75"/>
    <w:rsid w:val="178A7F7B"/>
    <w:rsid w:val="17920BDE"/>
    <w:rsid w:val="17DD62FD"/>
    <w:rsid w:val="17E05CBA"/>
    <w:rsid w:val="187529D9"/>
    <w:rsid w:val="19566367"/>
    <w:rsid w:val="1A165AF6"/>
    <w:rsid w:val="1A66082C"/>
    <w:rsid w:val="1A9A2283"/>
    <w:rsid w:val="1ACF68D4"/>
    <w:rsid w:val="1AE664C5"/>
    <w:rsid w:val="1AE94FB9"/>
    <w:rsid w:val="1AEC7E55"/>
    <w:rsid w:val="1B040045"/>
    <w:rsid w:val="1BF956CF"/>
    <w:rsid w:val="1CCE090A"/>
    <w:rsid w:val="1CD23A8D"/>
    <w:rsid w:val="1D13631D"/>
    <w:rsid w:val="1D862F93"/>
    <w:rsid w:val="1DC53ABB"/>
    <w:rsid w:val="1DCF0496"/>
    <w:rsid w:val="1E291F9F"/>
    <w:rsid w:val="1E3429EF"/>
    <w:rsid w:val="1E7B061E"/>
    <w:rsid w:val="1EC942D1"/>
    <w:rsid w:val="1EF87EC0"/>
    <w:rsid w:val="1F8D0609"/>
    <w:rsid w:val="1FC658C9"/>
    <w:rsid w:val="20C04A0E"/>
    <w:rsid w:val="20C22534"/>
    <w:rsid w:val="21667363"/>
    <w:rsid w:val="21845A3B"/>
    <w:rsid w:val="21D00C81"/>
    <w:rsid w:val="224551CB"/>
    <w:rsid w:val="22AA14D2"/>
    <w:rsid w:val="239A1546"/>
    <w:rsid w:val="23D54BEF"/>
    <w:rsid w:val="23FC3FAF"/>
    <w:rsid w:val="23FE7D27"/>
    <w:rsid w:val="24572F93"/>
    <w:rsid w:val="245F009A"/>
    <w:rsid w:val="248C7B5A"/>
    <w:rsid w:val="249D7540"/>
    <w:rsid w:val="24A73F1B"/>
    <w:rsid w:val="2536529E"/>
    <w:rsid w:val="256911D0"/>
    <w:rsid w:val="25A95A70"/>
    <w:rsid w:val="25B34B41"/>
    <w:rsid w:val="25D86356"/>
    <w:rsid w:val="25FA62CC"/>
    <w:rsid w:val="25FF5AB4"/>
    <w:rsid w:val="266B0F78"/>
    <w:rsid w:val="27BB7CDD"/>
    <w:rsid w:val="28B4457F"/>
    <w:rsid w:val="28B9246E"/>
    <w:rsid w:val="291853E7"/>
    <w:rsid w:val="294F4B81"/>
    <w:rsid w:val="29E828F5"/>
    <w:rsid w:val="2A353D77"/>
    <w:rsid w:val="2AF07C9E"/>
    <w:rsid w:val="2BA016C4"/>
    <w:rsid w:val="2CE35D0C"/>
    <w:rsid w:val="2CF27385"/>
    <w:rsid w:val="2D5D63AF"/>
    <w:rsid w:val="2E56250D"/>
    <w:rsid w:val="2EA4771D"/>
    <w:rsid w:val="2F794705"/>
    <w:rsid w:val="2FE04785"/>
    <w:rsid w:val="2FF26266"/>
    <w:rsid w:val="30006BD5"/>
    <w:rsid w:val="32425283"/>
    <w:rsid w:val="32BC3287"/>
    <w:rsid w:val="33F16F60"/>
    <w:rsid w:val="34076784"/>
    <w:rsid w:val="34670FD0"/>
    <w:rsid w:val="34E645EB"/>
    <w:rsid w:val="3550415A"/>
    <w:rsid w:val="359011FD"/>
    <w:rsid w:val="366A124C"/>
    <w:rsid w:val="36B129D7"/>
    <w:rsid w:val="36B44275"/>
    <w:rsid w:val="370E1C83"/>
    <w:rsid w:val="37BF7375"/>
    <w:rsid w:val="37C0681D"/>
    <w:rsid w:val="37EA43F2"/>
    <w:rsid w:val="37FA215C"/>
    <w:rsid w:val="38003C16"/>
    <w:rsid w:val="38BD1B07"/>
    <w:rsid w:val="39551D3F"/>
    <w:rsid w:val="3AC26874"/>
    <w:rsid w:val="3BA66882"/>
    <w:rsid w:val="3C530D70"/>
    <w:rsid w:val="3C562EF0"/>
    <w:rsid w:val="3C5E715D"/>
    <w:rsid w:val="3CA31014"/>
    <w:rsid w:val="3CE55188"/>
    <w:rsid w:val="3D18555E"/>
    <w:rsid w:val="3D736C38"/>
    <w:rsid w:val="3DDE3A9C"/>
    <w:rsid w:val="3E0C2BE9"/>
    <w:rsid w:val="3E976956"/>
    <w:rsid w:val="3F387A53"/>
    <w:rsid w:val="3F6251B6"/>
    <w:rsid w:val="40804C06"/>
    <w:rsid w:val="40AF61D9"/>
    <w:rsid w:val="41232723"/>
    <w:rsid w:val="417D62D7"/>
    <w:rsid w:val="421A58D4"/>
    <w:rsid w:val="432B3B11"/>
    <w:rsid w:val="440F51E1"/>
    <w:rsid w:val="44204F82"/>
    <w:rsid w:val="448B0D0B"/>
    <w:rsid w:val="44B32010"/>
    <w:rsid w:val="44C62691"/>
    <w:rsid w:val="44E40612"/>
    <w:rsid w:val="4545710C"/>
    <w:rsid w:val="456D6663"/>
    <w:rsid w:val="45C81AEB"/>
    <w:rsid w:val="46072613"/>
    <w:rsid w:val="46592743"/>
    <w:rsid w:val="468E6891"/>
    <w:rsid w:val="46B53E1D"/>
    <w:rsid w:val="46DD15C6"/>
    <w:rsid w:val="47170634"/>
    <w:rsid w:val="473C2055"/>
    <w:rsid w:val="476218AB"/>
    <w:rsid w:val="48296067"/>
    <w:rsid w:val="4839282C"/>
    <w:rsid w:val="486661DE"/>
    <w:rsid w:val="487F0B87"/>
    <w:rsid w:val="494F5CF4"/>
    <w:rsid w:val="49BB5BEF"/>
    <w:rsid w:val="4A34774F"/>
    <w:rsid w:val="4A484FA8"/>
    <w:rsid w:val="4A6C6EE9"/>
    <w:rsid w:val="4B1D6435"/>
    <w:rsid w:val="4D21045F"/>
    <w:rsid w:val="4D77007F"/>
    <w:rsid w:val="4E5403C0"/>
    <w:rsid w:val="4E962786"/>
    <w:rsid w:val="4EBB21ED"/>
    <w:rsid w:val="4F4C72E9"/>
    <w:rsid w:val="4FA64C4B"/>
    <w:rsid w:val="501A2F43"/>
    <w:rsid w:val="501F267E"/>
    <w:rsid w:val="51112598"/>
    <w:rsid w:val="515E0235"/>
    <w:rsid w:val="51A056CA"/>
    <w:rsid w:val="52741030"/>
    <w:rsid w:val="528B2F61"/>
    <w:rsid w:val="52C0059A"/>
    <w:rsid w:val="52E2243E"/>
    <w:rsid w:val="53A476F3"/>
    <w:rsid w:val="541F321E"/>
    <w:rsid w:val="546E05F9"/>
    <w:rsid w:val="54C3004D"/>
    <w:rsid w:val="54F2448F"/>
    <w:rsid w:val="55730AC2"/>
    <w:rsid w:val="55DB4F23"/>
    <w:rsid w:val="56152E93"/>
    <w:rsid w:val="56494582"/>
    <w:rsid w:val="568E01E7"/>
    <w:rsid w:val="56995541"/>
    <w:rsid w:val="583628E4"/>
    <w:rsid w:val="59FD5DAF"/>
    <w:rsid w:val="5A33357F"/>
    <w:rsid w:val="5A932270"/>
    <w:rsid w:val="5AAB2070"/>
    <w:rsid w:val="5AD852C0"/>
    <w:rsid w:val="5AEB5C08"/>
    <w:rsid w:val="5B1A64ED"/>
    <w:rsid w:val="5B995664"/>
    <w:rsid w:val="5B9E0A09"/>
    <w:rsid w:val="5CDC6150"/>
    <w:rsid w:val="5CDD5A24"/>
    <w:rsid w:val="5D0B07E3"/>
    <w:rsid w:val="5D107BA8"/>
    <w:rsid w:val="5D526412"/>
    <w:rsid w:val="5DE11544"/>
    <w:rsid w:val="5DE352BC"/>
    <w:rsid w:val="5E8B1BDC"/>
    <w:rsid w:val="5E930A90"/>
    <w:rsid w:val="5EB212C5"/>
    <w:rsid w:val="5F7F1015"/>
    <w:rsid w:val="5F97635E"/>
    <w:rsid w:val="600F12C8"/>
    <w:rsid w:val="611539DF"/>
    <w:rsid w:val="611D0AE5"/>
    <w:rsid w:val="614432EB"/>
    <w:rsid w:val="6162299C"/>
    <w:rsid w:val="61E0223F"/>
    <w:rsid w:val="6292105F"/>
    <w:rsid w:val="632C5010"/>
    <w:rsid w:val="632E6FDA"/>
    <w:rsid w:val="63715118"/>
    <w:rsid w:val="63A177AC"/>
    <w:rsid w:val="65393A14"/>
    <w:rsid w:val="653B778C"/>
    <w:rsid w:val="6584222B"/>
    <w:rsid w:val="65C9123C"/>
    <w:rsid w:val="661F70AE"/>
    <w:rsid w:val="663F5124"/>
    <w:rsid w:val="6659436D"/>
    <w:rsid w:val="66F127F8"/>
    <w:rsid w:val="67416175"/>
    <w:rsid w:val="67C52405"/>
    <w:rsid w:val="67FF0F45"/>
    <w:rsid w:val="6845219F"/>
    <w:rsid w:val="686F60CA"/>
    <w:rsid w:val="68FB795E"/>
    <w:rsid w:val="69927DBA"/>
    <w:rsid w:val="69AF0748"/>
    <w:rsid w:val="6A7774B8"/>
    <w:rsid w:val="6A835E5D"/>
    <w:rsid w:val="6AD541DF"/>
    <w:rsid w:val="6AD93CCF"/>
    <w:rsid w:val="6B5B2936"/>
    <w:rsid w:val="6B6D4417"/>
    <w:rsid w:val="6BAA7419"/>
    <w:rsid w:val="6C0D76BF"/>
    <w:rsid w:val="6CB51CAC"/>
    <w:rsid w:val="6CE25A9F"/>
    <w:rsid w:val="6CF941B4"/>
    <w:rsid w:val="6D82064E"/>
    <w:rsid w:val="6DCC18C9"/>
    <w:rsid w:val="6DD32C57"/>
    <w:rsid w:val="6E62222D"/>
    <w:rsid w:val="6F6B5112"/>
    <w:rsid w:val="701D28B0"/>
    <w:rsid w:val="711C34D5"/>
    <w:rsid w:val="71520337"/>
    <w:rsid w:val="71881FAB"/>
    <w:rsid w:val="71EC42E8"/>
    <w:rsid w:val="71EF3DD8"/>
    <w:rsid w:val="72007D93"/>
    <w:rsid w:val="721E646B"/>
    <w:rsid w:val="724F2AC9"/>
    <w:rsid w:val="72695938"/>
    <w:rsid w:val="726D6775"/>
    <w:rsid w:val="72CA214F"/>
    <w:rsid w:val="72D90E36"/>
    <w:rsid w:val="730446E9"/>
    <w:rsid w:val="7329331A"/>
    <w:rsid w:val="733C4DFB"/>
    <w:rsid w:val="743957DE"/>
    <w:rsid w:val="74B72C97"/>
    <w:rsid w:val="753C37D8"/>
    <w:rsid w:val="75894543"/>
    <w:rsid w:val="75976C60"/>
    <w:rsid w:val="768F5B89"/>
    <w:rsid w:val="76B63116"/>
    <w:rsid w:val="76BF021D"/>
    <w:rsid w:val="78250553"/>
    <w:rsid w:val="78BD69DE"/>
    <w:rsid w:val="79C30024"/>
    <w:rsid w:val="7AA8721A"/>
    <w:rsid w:val="7ADD32F6"/>
    <w:rsid w:val="7B8F3F36"/>
    <w:rsid w:val="7B9A3CA1"/>
    <w:rsid w:val="7BD04C7A"/>
    <w:rsid w:val="7CC540B3"/>
    <w:rsid w:val="7DC73E5B"/>
    <w:rsid w:val="7DFF53A3"/>
    <w:rsid w:val="7E941F8F"/>
    <w:rsid w:val="7FB4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19"/>
      <w:szCs w:val="19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2024&#23398;&#26657;&#21355;&#29983;&#25968;&#25454;&#36164;&#26009;\&#36741;&#21161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080" b="1"/>
              <a:t>2024年巴州各县（市、区）儿童青少年筛查性近视率示意图</a:t>
            </a:r>
            <a:endParaRPr sz="1080" b="1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[辅助表.xlsx]Sheet2!$N$1728</c:f>
              <c:strCache>
                <c:ptCount val="1"/>
                <c:pt idx="0">
                  <c:v>近视率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00380228136882129"/>
                  <c:y val="0.0231719876416066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0190114068441065"/>
                  <c:y val="0.019309989701338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[辅助表.xlsx]Sheet2!$M$1729:$M$1737</c:f>
              <c:strCache>
                <c:ptCount val="9"/>
                <c:pt idx="0">
                  <c:v>库尔勒市</c:v>
                </c:pt>
                <c:pt idx="1">
                  <c:v>轮台县</c:v>
                </c:pt>
                <c:pt idx="2">
                  <c:v>尉犁县</c:v>
                </c:pt>
                <c:pt idx="3">
                  <c:v>若羌县</c:v>
                </c:pt>
                <c:pt idx="4">
                  <c:v>且末县</c:v>
                </c:pt>
                <c:pt idx="5">
                  <c:v>焉耆县</c:v>
                </c:pt>
                <c:pt idx="6">
                  <c:v>和静县</c:v>
                </c:pt>
                <c:pt idx="7">
                  <c:v>和硕县</c:v>
                </c:pt>
                <c:pt idx="8">
                  <c:v>博湖县</c:v>
                </c:pt>
              </c:strCache>
            </c:strRef>
          </c:cat>
          <c:val>
            <c:numRef>
              <c:f>[辅助表.xlsx]Sheet2!$N$1729:$N$1737</c:f>
              <c:numCache>
                <c:formatCode>0.00%</c:formatCode>
                <c:ptCount val="9"/>
                <c:pt idx="0">
                  <c:v>0.4663</c:v>
                </c:pt>
                <c:pt idx="1">
                  <c:v>0.3012</c:v>
                </c:pt>
                <c:pt idx="2">
                  <c:v>0.3704</c:v>
                </c:pt>
                <c:pt idx="3">
                  <c:v>0.4616</c:v>
                </c:pt>
                <c:pt idx="4">
                  <c:v>0.3391</c:v>
                </c:pt>
                <c:pt idx="5">
                  <c:v>0.3286</c:v>
                </c:pt>
                <c:pt idx="6">
                  <c:v>0.3203</c:v>
                </c:pt>
                <c:pt idx="7">
                  <c:v>0.3787</c:v>
                </c:pt>
                <c:pt idx="8">
                  <c:v>0.2961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8459185"/>
        <c:axId val="336458527"/>
      </c:barChart>
      <c:catAx>
        <c:axId val="98459185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36458527"/>
        <c:crosses val="autoZero"/>
        <c:auto val="1"/>
        <c:lblAlgn val="ctr"/>
        <c:lblOffset val="100"/>
        <c:noMultiLvlLbl val="0"/>
      </c:catAx>
      <c:valAx>
        <c:axId val="3364585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845918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c30b80c5-7fb1-4586-91fc-fde0bed8ee03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900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1460</Words>
  <Characters>1974</Characters>
  <Lines>0</Lines>
  <Paragraphs>0</Paragraphs>
  <TotalTime>62</TotalTime>
  <ScaleCrop>false</ScaleCrop>
  <LinksUpToDate>false</LinksUpToDate>
  <CharactersWithSpaces>2007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2025-03-19T15:31:00Z</dcterms:created>
  <dc:creator>Sophia</dc:creator>
  <cp:lastModifiedBy>赵堂宇</cp:lastModifiedBy>
  <cp:lastPrinted>2025-04-03T02:59:00Z</cp:lastPrinted>
  <dcterms:modified xsi:type="dcterms:W3CDTF">2025-12-18T05:30:22Z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FE1135EF12A74A3DBA0B1E548E9355A3_13</vt:lpwstr>
  </property>
  <property fmtid="{D5CDD505-2E9C-101B-9397-08002B2CF9AE}" pid="4" name="KSOTemplateDocerSaveRecord">
    <vt:lpwstr>eyJoZGlkIjoiNjgyMTIyNDhkMzFlOTM0YzI5YzYyYWM2MTY2NzhkYjYiLCJ1c2VySWQiOiIzNTkzNjQyNzMifQ==</vt:lpwstr>
  </property>
</Properties>
</file>