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4F9D6">
      <w:pPr>
        <w:pStyle w:val="2"/>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_GBK" w:cs="Times New Roman"/>
          <w:b w:val="0"/>
          <w:bCs w:val="0"/>
          <w:color w:val="auto"/>
          <w:sz w:val="36"/>
          <w:szCs w:val="36"/>
        </w:rPr>
      </w:pPr>
    </w:p>
    <w:p w14:paraId="04FC999D">
      <w:pPr>
        <w:pStyle w:val="2"/>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_GBK" w:cs="Times New Roman"/>
          <w:b w:val="0"/>
          <w:bCs w:val="0"/>
          <w:color w:val="auto"/>
          <w:sz w:val="36"/>
          <w:szCs w:val="36"/>
        </w:rPr>
      </w:pPr>
      <w:r>
        <w:rPr>
          <w:rFonts w:hint="default" w:ascii="Times New Roman" w:hAnsi="Times New Roman" w:eastAsia="方正小标宋_GBK" w:cs="Times New Roman"/>
          <w:b w:val="0"/>
          <w:bCs w:val="0"/>
          <w:color w:val="auto"/>
          <w:sz w:val="36"/>
          <w:szCs w:val="36"/>
        </w:rPr>
        <w:t>关于《</w:t>
      </w:r>
      <w:r>
        <w:rPr>
          <w:rFonts w:hint="eastAsia" w:ascii="Times New Roman" w:hAnsi="Times New Roman" w:eastAsia="方正小标宋_GBK" w:cs="Times New Roman"/>
          <w:b w:val="0"/>
          <w:bCs w:val="0"/>
          <w:color w:val="auto"/>
          <w:sz w:val="36"/>
          <w:szCs w:val="36"/>
          <w:lang w:val="en-US" w:eastAsia="zh-CN"/>
        </w:rPr>
        <w:t>学校</w:t>
      </w:r>
      <w:r>
        <w:rPr>
          <w:rFonts w:hint="default" w:ascii="Times New Roman" w:hAnsi="Times New Roman" w:eastAsia="方正小标宋_GBK" w:cs="Times New Roman"/>
          <w:b w:val="0"/>
          <w:bCs w:val="0"/>
          <w:color w:val="auto"/>
          <w:sz w:val="36"/>
          <w:szCs w:val="36"/>
        </w:rPr>
        <w:t>晨</w:t>
      </w:r>
      <w:r>
        <w:rPr>
          <w:rFonts w:hint="eastAsia" w:ascii="Times New Roman" w:hAnsi="Times New Roman" w:eastAsia="方正小标宋_GBK" w:cs="Times New Roman"/>
          <w:b w:val="0"/>
          <w:bCs w:val="0"/>
          <w:color w:val="auto"/>
          <w:sz w:val="36"/>
          <w:szCs w:val="36"/>
          <w:lang w:eastAsia="zh-CN"/>
        </w:rPr>
        <w:t>（</w:t>
      </w:r>
      <w:r>
        <w:rPr>
          <w:rFonts w:hint="eastAsia" w:ascii="Times New Roman" w:hAnsi="Times New Roman" w:eastAsia="方正小标宋_GBK" w:cs="Times New Roman"/>
          <w:b w:val="0"/>
          <w:bCs w:val="0"/>
          <w:color w:val="auto"/>
          <w:sz w:val="36"/>
          <w:szCs w:val="36"/>
          <w:lang w:val="en-US" w:eastAsia="zh-CN"/>
        </w:rPr>
        <w:t>午</w:t>
      </w:r>
      <w:r>
        <w:rPr>
          <w:rFonts w:hint="eastAsia" w:ascii="Times New Roman" w:hAnsi="Times New Roman" w:eastAsia="方正小标宋_GBK" w:cs="Times New Roman"/>
          <w:b w:val="0"/>
          <w:bCs w:val="0"/>
          <w:color w:val="auto"/>
          <w:sz w:val="36"/>
          <w:szCs w:val="36"/>
          <w:lang w:eastAsia="zh-CN"/>
        </w:rPr>
        <w:t>）</w:t>
      </w:r>
      <w:r>
        <w:rPr>
          <w:rFonts w:hint="default" w:ascii="Times New Roman" w:hAnsi="Times New Roman" w:eastAsia="方正小标宋_GBK" w:cs="Times New Roman"/>
          <w:b w:val="0"/>
          <w:bCs w:val="0"/>
          <w:color w:val="auto"/>
          <w:sz w:val="36"/>
          <w:szCs w:val="36"/>
        </w:rPr>
        <w:t>检及因病缺勤信息管理系统》</w:t>
      </w:r>
    </w:p>
    <w:p w14:paraId="5078CC80">
      <w:pPr>
        <w:pStyle w:val="2"/>
        <w:keepNext w:val="0"/>
        <w:keepLines w:val="0"/>
        <w:pageBreakBefore w:val="0"/>
        <w:widowControl w:val="0"/>
        <w:kinsoku/>
        <w:wordWrap/>
        <w:overflowPunct/>
        <w:topLinePunct w:val="0"/>
        <w:autoSpaceDE/>
        <w:autoSpaceDN/>
        <w:bidi w:val="0"/>
        <w:adjustRightInd/>
        <w:snapToGrid/>
        <w:spacing w:before="0" w:after="721" w:afterLines="200" w:line="560" w:lineRule="exact"/>
        <w:ind w:left="0" w:firstLine="0" w:firstLineChars="0"/>
        <w:jc w:val="center"/>
        <w:textAlignment w:val="auto"/>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36"/>
          <w:szCs w:val="36"/>
        </w:rPr>
        <w:t>实时信息暂无法</w:t>
      </w:r>
      <w:r>
        <w:rPr>
          <w:rFonts w:hint="default" w:ascii="Times New Roman" w:hAnsi="Times New Roman" w:eastAsia="方正小标宋_GBK" w:cs="Times New Roman"/>
          <w:b w:val="0"/>
          <w:bCs w:val="0"/>
          <w:color w:val="auto"/>
          <w:sz w:val="36"/>
          <w:szCs w:val="36"/>
          <w:lang w:val="en-US" w:eastAsia="zh-CN"/>
        </w:rPr>
        <w:t>直接</w:t>
      </w:r>
      <w:r>
        <w:rPr>
          <w:rFonts w:hint="default" w:ascii="Times New Roman" w:hAnsi="Times New Roman" w:eastAsia="方正小标宋_GBK" w:cs="Times New Roman"/>
          <w:b w:val="0"/>
          <w:bCs w:val="0"/>
          <w:color w:val="auto"/>
          <w:sz w:val="36"/>
          <w:szCs w:val="36"/>
        </w:rPr>
        <w:t>共享至</w:t>
      </w:r>
      <w:r>
        <w:rPr>
          <w:rFonts w:hint="default" w:ascii="Times New Roman" w:hAnsi="Times New Roman" w:eastAsia="方正小标宋_GBK" w:cs="Times New Roman"/>
          <w:b w:val="0"/>
          <w:bCs w:val="0"/>
          <w:color w:val="auto"/>
          <w:sz w:val="36"/>
          <w:szCs w:val="36"/>
          <w:highlight w:val="yellow"/>
        </w:rPr>
        <w:t>卫健大疫情系统</w:t>
      </w:r>
      <w:r>
        <w:rPr>
          <w:rFonts w:hint="default" w:ascii="Times New Roman" w:hAnsi="Times New Roman" w:eastAsia="方正小标宋_GBK" w:cs="Times New Roman"/>
          <w:b w:val="0"/>
          <w:bCs w:val="0"/>
          <w:color w:val="auto"/>
          <w:sz w:val="36"/>
          <w:szCs w:val="36"/>
        </w:rPr>
        <w:t>的</w:t>
      </w:r>
      <w:r>
        <w:rPr>
          <w:rFonts w:hint="default" w:ascii="Times New Roman" w:hAnsi="Times New Roman" w:eastAsia="方正小标宋_GBK" w:cs="Times New Roman"/>
          <w:b w:val="0"/>
          <w:bCs w:val="0"/>
          <w:color w:val="auto"/>
          <w:sz w:val="36"/>
          <w:szCs w:val="36"/>
          <w:lang w:val="en-US" w:eastAsia="zh-CN"/>
        </w:rPr>
        <w:t>情况说明</w:t>
      </w:r>
    </w:p>
    <w:p w14:paraId="2F07F798">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lang w:val="en-US" w:eastAsia="zh-CN"/>
        </w:rPr>
        <w:t>xxx</w:t>
      </w:r>
      <w:r>
        <w:rPr>
          <w:rFonts w:hint="default" w:ascii="Times New Roman" w:hAnsi="Times New Roman" w:eastAsia="方正仿宋_GB2312" w:cs="Times New Roman"/>
          <w:color w:val="auto"/>
          <w:sz w:val="32"/>
          <w:szCs w:val="32"/>
        </w:rPr>
        <w:t>：</w:t>
      </w:r>
    </w:p>
    <w:p w14:paraId="32F384CB">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现就我厅《</w:t>
      </w:r>
      <w:r>
        <w:rPr>
          <w:rFonts w:hint="eastAsia" w:ascii="Times New Roman" w:hAnsi="Times New Roman" w:eastAsia="方正仿宋_GB2312" w:cs="Times New Roman"/>
          <w:color w:val="auto"/>
          <w:sz w:val="32"/>
          <w:szCs w:val="32"/>
          <w:lang w:val="en-US" w:eastAsia="zh-CN"/>
        </w:rPr>
        <w:t>学校</w:t>
      </w:r>
      <w:r>
        <w:rPr>
          <w:rFonts w:hint="default" w:ascii="Times New Roman" w:hAnsi="Times New Roman" w:eastAsia="方正仿宋_GB2312" w:cs="Times New Roman"/>
          <w:color w:val="auto"/>
          <w:sz w:val="32"/>
          <w:szCs w:val="32"/>
        </w:rPr>
        <w:t>晨</w:t>
      </w:r>
      <w:r>
        <w:rPr>
          <w:rFonts w:hint="eastAsia"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午</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检及因病缺勤信息管理系统》（以下简称</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晨午检系统</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）每日实时信息暂无法及时共享至卫健大疫情系统的相关情况，</w:t>
      </w:r>
      <w:r>
        <w:rPr>
          <w:rFonts w:hint="eastAsia" w:ascii="Times New Roman" w:hAnsi="Times New Roman" w:eastAsia="方正仿宋_GB2312" w:cs="Times New Roman"/>
          <w:color w:val="auto"/>
          <w:sz w:val="32"/>
          <w:szCs w:val="32"/>
          <w:lang w:val="en-US" w:eastAsia="zh-CN"/>
        </w:rPr>
        <w:t>依据国家及新疆维吾尔自治区</w:t>
      </w:r>
      <w:r>
        <w:rPr>
          <w:rFonts w:hint="default" w:ascii="Times New Roman" w:hAnsi="Times New Roman" w:eastAsia="方正仿宋_GB2312" w:cs="Times New Roman"/>
          <w:color w:val="auto"/>
          <w:sz w:val="32"/>
          <w:szCs w:val="32"/>
        </w:rPr>
        <w:t>数据信息安全法律法规及制度要求，</w:t>
      </w:r>
      <w:r>
        <w:rPr>
          <w:rFonts w:hint="eastAsia" w:ascii="Times New Roman" w:hAnsi="Times New Roman" w:eastAsia="方正仿宋_GB2312" w:cs="Times New Roman"/>
          <w:color w:val="auto"/>
          <w:sz w:val="32"/>
          <w:szCs w:val="32"/>
          <w:lang w:val="en-US" w:eastAsia="zh-CN"/>
        </w:rPr>
        <w:t>说明</w:t>
      </w:r>
      <w:r>
        <w:rPr>
          <w:rFonts w:hint="default" w:ascii="Times New Roman" w:hAnsi="Times New Roman" w:eastAsia="方正仿宋_GB2312" w:cs="Times New Roman"/>
          <w:color w:val="auto"/>
          <w:sz w:val="32"/>
          <w:szCs w:val="32"/>
        </w:rPr>
        <w:t>如下：</w:t>
      </w:r>
    </w:p>
    <w:p w14:paraId="18FB8685">
      <w:pPr>
        <w:pStyle w:val="3"/>
        <w:keepNext w:val="0"/>
        <w:keepLines w:val="0"/>
        <w:pageBreakBefore w:val="0"/>
        <w:widowControl w:val="0"/>
        <w:kinsoku/>
        <w:wordWrap/>
        <w:overflowPunct/>
        <w:topLinePunct w:val="0"/>
        <w:autoSpaceDE/>
        <w:autoSpaceDN/>
        <w:bidi w:val="0"/>
        <w:adjustRightInd/>
        <w:snapToGrid/>
        <w:spacing w:before="361" w:beforeLines="100" w:after="0" w:line="560" w:lineRule="exact"/>
        <w:ind w:left="0"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一、核心结论</w:t>
      </w:r>
    </w:p>
    <w:p w14:paraId="64B4ED45">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rPr>
        <w:t>晨午检系统</w:t>
      </w:r>
      <w:r>
        <w:rPr>
          <w:rFonts w:hint="default" w:ascii="Times New Roman" w:hAnsi="Times New Roman" w:eastAsia="方正仿宋_GB2312" w:cs="Times New Roman"/>
          <w:b/>
          <w:bCs/>
          <w:color w:val="auto"/>
          <w:sz w:val="32"/>
          <w:szCs w:val="32"/>
        </w:rPr>
        <w:t>实时信息</w:t>
      </w:r>
      <w:r>
        <w:rPr>
          <w:rFonts w:hint="default" w:ascii="Times New Roman" w:hAnsi="Times New Roman" w:eastAsia="方正仿宋_GB2312" w:cs="Times New Roman"/>
          <w:color w:val="auto"/>
          <w:sz w:val="32"/>
          <w:szCs w:val="32"/>
        </w:rPr>
        <w:t>包含大量师生个人隐私及重要民生数据</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依据</w:t>
      </w:r>
      <w:r>
        <w:rPr>
          <w:rFonts w:hint="eastAsia"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中华人民共和国数据安全法</w:t>
      </w:r>
      <w:r>
        <w:rPr>
          <w:rFonts w:hint="eastAsia"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中华人民共和国个人信息保护法</w:t>
      </w:r>
      <w:r>
        <w:rPr>
          <w:rFonts w:hint="eastAsia"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等法律法规及自治区相关规定</w:t>
      </w:r>
      <w:r>
        <w:rPr>
          <w:rFonts w:hint="default" w:ascii="Times New Roman" w:hAnsi="Times New Roman" w:eastAsia="方正仿宋_GB2312" w:cs="Times New Roman"/>
          <w:color w:val="auto"/>
          <w:sz w:val="32"/>
          <w:szCs w:val="32"/>
        </w:rPr>
        <w:t>，在未完成合规处理、未建立安全共享机制前，直接共享存在法律风险与信息泄露隐患，故暂</w:t>
      </w:r>
      <w:r>
        <w:rPr>
          <w:rFonts w:hint="eastAsia" w:ascii="Times New Roman" w:hAnsi="Times New Roman" w:eastAsia="方正仿宋_GB2312" w:cs="Times New Roman"/>
          <w:b/>
          <w:bCs/>
          <w:color w:val="auto"/>
          <w:sz w:val="32"/>
          <w:szCs w:val="32"/>
          <w:lang w:val="en-US" w:eastAsia="zh-CN"/>
        </w:rPr>
        <w:t>不具备实时共享条件</w:t>
      </w:r>
      <w:r>
        <w:rPr>
          <w:rFonts w:hint="default" w:ascii="Times New Roman" w:hAnsi="Times New Roman" w:eastAsia="方正仿宋_GB2312" w:cs="Times New Roman"/>
          <w:color w:val="auto"/>
          <w:sz w:val="32"/>
          <w:szCs w:val="32"/>
        </w:rPr>
        <w:t>。</w:t>
      </w:r>
      <w:r>
        <w:rPr>
          <w:rFonts w:hint="default" w:ascii="Times New Roman" w:hAnsi="Times New Roman" w:eastAsia="方正仿宋_GB2312" w:cs="Times New Roman"/>
          <w:color w:val="auto"/>
          <w:sz w:val="32"/>
          <w:szCs w:val="32"/>
          <w:lang w:val="en-US" w:eastAsia="zh-CN"/>
        </w:rPr>
        <w:t>若后续双方能建立完善的数据安全共享机制，在符合法律规定和保障数据安全的前提下，可</w:t>
      </w:r>
      <w:r>
        <w:rPr>
          <w:rFonts w:hint="default" w:ascii="Times New Roman" w:hAnsi="Times New Roman" w:eastAsia="方正仿宋_GB2312" w:cs="Times New Roman"/>
          <w:b/>
          <w:bCs/>
          <w:color w:val="auto"/>
          <w:sz w:val="32"/>
          <w:szCs w:val="32"/>
          <w:lang w:val="en-US" w:eastAsia="zh-CN"/>
        </w:rPr>
        <w:t>进一步探讨脱敏、统计分析信息</w:t>
      </w:r>
      <w:r>
        <w:rPr>
          <w:rFonts w:hint="eastAsia" w:ascii="Times New Roman" w:hAnsi="Times New Roman" w:eastAsia="方正仿宋_GB2312" w:cs="Times New Roman"/>
          <w:b/>
          <w:bCs/>
          <w:color w:val="auto"/>
          <w:sz w:val="32"/>
          <w:szCs w:val="32"/>
          <w:lang w:val="en-US" w:eastAsia="zh-CN"/>
        </w:rPr>
        <w:t>的</w:t>
      </w:r>
      <w:r>
        <w:rPr>
          <w:rFonts w:hint="default" w:ascii="Times New Roman" w:hAnsi="Times New Roman" w:eastAsia="方正仿宋_GB2312" w:cs="Times New Roman"/>
          <w:b/>
          <w:bCs/>
          <w:color w:val="auto"/>
          <w:sz w:val="32"/>
          <w:szCs w:val="32"/>
          <w:lang w:val="en-US" w:eastAsia="zh-CN"/>
        </w:rPr>
        <w:t>共享</w:t>
      </w:r>
      <w:r>
        <w:rPr>
          <w:rFonts w:hint="default" w:ascii="Times New Roman" w:hAnsi="Times New Roman" w:eastAsia="方正仿宋_GB2312" w:cs="Times New Roman"/>
          <w:color w:val="auto"/>
          <w:sz w:val="32"/>
          <w:szCs w:val="32"/>
          <w:lang w:val="en-US" w:eastAsia="zh-CN"/>
        </w:rPr>
        <w:t>事宜。</w:t>
      </w:r>
    </w:p>
    <w:p w14:paraId="4A9C6582">
      <w:pPr>
        <w:pStyle w:val="3"/>
        <w:keepNext w:val="0"/>
        <w:keepLines w:val="0"/>
        <w:pageBreakBefore w:val="0"/>
        <w:widowControl w:val="0"/>
        <w:kinsoku/>
        <w:wordWrap/>
        <w:overflowPunct/>
        <w:topLinePunct w:val="0"/>
        <w:autoSpaceDE/>
        <w:autoSpaceDN/>
        <w:bidi w:val="0"/>
        <w:adjustRightInd/>
        <w:snapToGrid/>
        <w:spacing w:before="361" w:beforeLines="100" w:after="0" w:line="560" w:lineRule="exact"/>
        <w:ind w:left="0"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二、无法共享的法律法规及制度依据</w:t>
      </w:r>
    </w:p>
    <w:p w14:paraId="1841AB55">
      <w:pPr>
        <w:pStyle w:val="4"/>
        <w:keepNext w:val="0"/>
        <w:keepLines w:val="0"/>
        <w:pageBreakBefore w:val="0"/>
        <w:widowControl w:val="0"/>
        <w:kinsoku/>
        <w:wordWrap/>
        <w:overflowPunct/>
        <w:topLinePunct w:val="0"/>
        <w:autoSpaceDE/>
        <w:autoSpaceDN/>
        <w:bidi w:val="0"/>
        <w:adjustRightInd/>
        <w:snapToGrid/>
        <w:spacing w:before="181" w:beforeLines="50" w:after="0" w:line="560" w:lineRule="exact"/>
        <w:ind w:left="0" w:firstLine="643" w:firstLineChars="200"/>
        <w:textAlignment w:val="auto"/>
        <w:rPr>
          <w:rFonts w:hint="default" w:ascii="Times New Roman" w:hAnsi="Times New Roman" w:eastAsia="方正楷体_GB2312" w:cs="Times New Roman"/>
          <w:b w:val="0"/>
          <w:bCs w:val="0"/>
          <w:color w:val="auto"/>
          <w:sz w:val="32"/>
          <w:szCs w:val="32"/>
        </w:rPr>
      </w:pPr>
      <w:r>
        <w:rPr>
          <w:rFonts w:hint="default" w:ascii="Times New Roman" w:hAnsi="Times New Roman" w:eastAsia="方正楷体_GB2312" w:cs="Times New Roman"/>
          <w:b/>
          <w:bCs/>
          <w:color w:val="auto"/>
          <w:sz w:val="32"/>
          <w:szCs w:val="32"/>
        </w:rPr>
        <w:t>（</w:t>
      </w:r>
      <w:r>
        <w:rPr>
          <w:rFonts w:hint="eastAsia" w:ascii="Times New Roman" w:hAnsi="Times New Roman" w:eastAsia="方正楷体_GB2312" w:cs="Times New Roman"/>
          <w:b/>
          <w:bCs/>
          <w:color w:val="auto"/>
          <w:sz w:val="32"/>
          <w:szCs w:val="32"/>
          <w:lang w:val="en-US" w:eastAsia="zh-CN"/>
        </w:rPr>
        <w:t>一</w:t>
      </w:r>
      <w:r>
        <w:rPr>
          <w:rFonts w:hint="default" w:ascii="Times New Roman" w:hAnsi="Times New Roman" w:eastAsia="方正楷体_GB2312" w:cs="Times New Roman"/>
          <w:b/>
          <w:bCs/>
          <w:color w:val="auto"/>
          <w:sz w:val="32"/>
          <w:szCs w:val="32"/>
        </w:rPr>
        <w:t>）国家数据安全与个人信息保护核心法律要求</w:t>
      </w:r>
    </w:p>
    <w:p w14:paraId="51C91931">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1.</w:t>
      </w:r>
      <w:r>
        <w:rPr>
          <w:rFonts w:hint="default" w:ascii="Times New Roman" w:hAnsi="Times New Roman" w:eastAsia="方正仿宋_GB2312" w:cs="Times New Roman"/>
          <w:b/>
          <w:bCs/>
          <w:color w:val="auto"/>
          <w:sz w:val="32"/>
          <w:szCs w:val="32"/>
        </w:rPr>
        <w:t>《中华人民共和国数据安全法》</w:t>
      </w:r>
      <w:r>
        <w:rPr>
          <w:rFonts w:hint="default" w:ascii="Times New Roman" w:hAnsi="Times New Roman" w:eastAsia="方正仿宋_GB2312" w:cs="Times New Roman"/>
          <w:b/>
          <w:bCs/>
          <w:color w:val="auto"/>
          <w:sz w:val="32"/>
          <w:szCs w:val="32"/>
          <w:lang w:eastAsia="zh-CN"/>
        </w:rPr>
        <w:t>（2021年6月10日，十三届全国人大常委会第二十九次会议表决通过，</w:t>
      </w:r>
      <w:r>
        <w:rPr>
          <w:rFonts w:hint="default" w:ascii="Times New Roman" w:hAnsi="Times New Roman" w:eastAsia="方正仿宋_GB2312" w:cs="Times New Roman"/>
          <w:b/>
          <w:bCs/>
          <w:color w:val="auto"/>
          <w:sz w:val="32"/>
          <w:szCs w:val="32"/>
          <w:lang w:val="en-US" w:eastAsia="zh-CN"/>
        </w:rPr>
        <w:t>自</w:t>
      </w:r>
      <w:r>
        <w:rPr>
          <w:rFonts w:hint="default" w:ascii="Times New Roman" w:hAnsi="Times New Roman" w:eastAsia="方正仿宋_GB2312" w:cs="Times New Roman"/>
          <w:b/>
          <w:bCs/>
          <w:color w:val="auto"/>
          <w:sz w:val="32"/>
          <w:szCs w:val="32"/>
          <w:lang w:eastAsia="zh-CN"/>
        </w:rPr>
        <w:t>2021年9月1日起施行）</w:t>
      </w:r>
    </w:p>
    <w:p w14:paraId="62730FCF">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第二十一条规定：</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国家建立数据分类分级保护制度，对关系国家安全、国民经济命脉、重要民生、重大公共利益等数据实行更严格的保护。</w:t>
      </w:r>
      <w:r>
        <w:rPr>
          <w:rFonts w:hint="default" w:ascii="Times New Roman" w:hAnsi="Times New Roman" w:eastAsia="方正仿宋_GB2312" w:cs="Times New Roman"/>
          <w:color w:val="auto"/>
          <w:sz w:val="32"/>
          <w:szCs w:val="32"/>
          <w:lang w:eastAsia="zh-CN"/>
        </w:rPr>
        <w:t>”</w:t>
      </w:r>
    </w:p>
    <w:p w14:paraId="643FE6F9">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晨午检系统数据关联校园民生与公共卫生安全，属于</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重要民生数据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，需实行更严格的保护措施。共享前需完成数据安全风险评估，目前相关评估流程尚未启动，暂不具备共享条件。</w:t>
      </w:r>
    </w:p>
    <w:p w14:paraId="4ECBAAA7">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2.</w:t>
      </w:r>
      <w:r>
        <w:rPr>
          <w:rFonts w:hint="default" w:ascii="Times New Roman" w:hAnsi="Times New Roman" w:eastAsia="方正仿宋_GB2312" w:cs="Times New Roman"/>
          <w:b/>
          <w:bCs/>
          <w:color w:val="auto"/>
          <w:sz w:val="32"/>
          <w:szCs w:val="32"/>
        </w:rPr>
        <w:t>《中华人民共和国个人信息保护法》</w:t>
      </w:r>
      <w:r>
        <w:rPr>
          <w:rFonts w:hint="default" w:ascii="Times New Roman" w:hAnsi="Times New Roman" w:eastAsia="方正仿宋_GB2312" w:cs="Times New Roman"/>
          <w:b/>
          <w:bCs/>
          <w:color w:val="auto"/>
          <w:sz w:val="32"/>
          <w:szCs w:val="32"/>
          <w:lang w:eastAsia="zh-CN"/>
        </w:rPr>
        <w:t>（2021年8月20日，十三届全国人大常委会第三十次会议表决通过，自2021年11月1日起施行）</w:t>
      </w:r>
    </w:p>
    <w:p w14:paraId="54037008">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第四条</w:t>
      </w:r>
      <w:r>
        <w:rPr>
          <w:rFonts w:hint="eastAsia" w:ascii="Times New Roman" w:hAnsi="Times New Roman" w:eastAsia="方正仿宋_GB2312" w:cs="Times New Roman"/>
          <w:color w:val="auto"/>
          <w:sz w:val="32"/>
          <w:szCs w:val="32"/>
          <w:lang w:val="en-US" w:eastAsia="zh-CN"/>
        </w:rPr>
        <w:t>规定</w:t>
      </w:r>
      <w:r>
        <w:rPr>
          <w:rFonts w:hint="default" w:ascii="Times New Roman" w:hAnsi="Times New Roman" w:eastAsia="方正仿宋_GB2312" w:cs="Times New Roman"/>
          <w:color w:val="auto"/>
          <w:sz w:val="32"/>
          <w:szCs w:val="32"/>
        </w:rPr>
        <w:t>：</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个人信息是以电子或者其他方式记录的与已识别或者可识别的自然人有关的各种信息，不包括匿名化处理后的信息。</w:t>
      </w:r>
      <w:r>
        <w:rPr>
          <w:rFonts w:hint="default" w:ascii="Times New Roman" w:hAnsi="Times New Roman" w:eastAsia="方正仿宋_GB2312" w:cs="Times New Roman"/>
          <w:color w:val="auto"/>
          <w:sz w:val="32"/>
          <w:szCs w:val="32"/>
          <w:lang w:eastAsia="zh-CN"/>
        </w:rPr>
        <w:t>”</w:t>
      </w:r>
    </w:p>
    <w:p w14:paraId="7DB89E99">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晨午检系统记录的学生、教职工</w:t>
      </w:r>
      <w:r>
        <w:rPr>
          <w:rFonts w:hint="eastAsia" w:ascii="Times New Roman" w:hAnsi="Times New Roman" w:eastAsia="方正仿宋_GB2312" w:cs="Times New Roman"/>
          <w:color w:val="auto"/>
          <w:sz w:val="32"/>
          <w:szCs w:val="32"/>
          <w:lang w:val="en-US" w:eastAsia="zh-CN"/>
        </w:rPr>
        <w:t>的</w:t>
      </w:r>
      <w:r>
        <w:rPr>
          <w:rFonts w:hint="default" w:ascii="Times New Roman" w:hAnsi="Times New Roman" w:eastAsia="方正仿宋_GB2312" w:cs="Times New Roman"/>
          <w:color w:val="auto"/>
          <w:sz w:val="32"/>
          <w:szCs w:val="32"/>
        </w:rPr>
        <w:t>每日健康信息</w:t>
      </w:r>
      <w:r>
        <w:rPr>
          <w:rFonts w:hint="eastAsia"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如体温、症状、缺勤原因等</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，均属于法定保护的</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个人信息</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。共享需满足合法性、正当性、必要性原则，目前</w:t>
      </w:r>
      <w:r>
        <w:rPr>
          <w:rFonts w:hint="eastAsia" w:ascii="Times New Roman" w:hAnsi="Times New Roman" w:eastAsia="方正仿宋_GB2312" w:cs="Times New Roman"/>
          <w:color w:val="auto"/>
          <w:sz w:val="32"/>
          <w:szCs w:val="32"/>
          <w:lang w:val="en-US" w:eastAsia="zh-CN"/>
        </w:rPr>
        <w:t>双方</w:t>
      </w:r>
      <w:r>
        <w:rPr>
          <w:rFonts w:hint="default" w:ascii="Times New Roman" w:hAnsi="Times New Roman" w:eastAsia="方正仿宋_GB2312" w:cs="Times New Roman"/>
          <w:color w:val="auto"/>
          <w:sz w:val="32"/>
          <w:szCs w:val="32"/>
        </w:rPr>
        <w:t>尚未就合法授权、使用范围达成明确约定，直接共享不符合法律要求。</w:t>
      </w:r>
    </w:p>
    <w:p w14:paraId="5F866A4C">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3.</w:t>
      </w:r>
      <w:r>
        <w:rPr>
          <w:rFonts w:hint="default" w:ascii="Times New Roman" w:hAnsi="Times New Roman" w:eastAsia="方正仿宋_GB2312" w:cs="Times New Roman"/>
          <w:b/>
          <w:bCs/>
          <w:color w:val="auto"/>
          <w:sz w:val="32"/>
          <w:szCs w:val="32"/>
        </w:rPr>
        <w:t>《中共中央国务院关于构建数据基础制度更好发挥数据要素作用的意见》</w:t>
      </w:r>
      <w:r>
        <w:rPr>
          <w:rFonts w:hint="default" w:ascii="Times New Roman" w:hAnsi="Times New Roman" w:eastAsia="方正仿宋_GB2312" w:cs="Times New Roman"/>
          <w:b/>
          <w:bCs/>
          <w:color w:val="auto"/>
          <w:sz w:val="32"/>
          <w:szCs w:val="32"/>
          <w:lang w:eastAsia="zh-CN"/>
        </w:rPr>
        <w:t>（2022年12月2日）</w:t>
      </w:r>
    </w:p>
    <w:p w14:paraId="2E4AF34F">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该意见第二部分第四条规定：</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在保护个人隐私和确保公共安全的前提下，按照‘原始数据不出域、数据可用不可见’的要求</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避免原始个人隐私数据直接流通。</w:t>
      </w:r>
      <w:r>
        <w:rPr>
          <w:rFonts w:hint="default" w:ascii="Times New Roman" w:hAnsi="Times New Roman" w:eastAsia="方正仿宋_GB2312" w:cs="Times New Roman"/>
          <w:color w:val="auto"/>
          <w:sz w:val="32"/>
          <w:szCs w:val="32"/>
          <w:lang w:eastAsia="zh-CN"/>
        </w:rPr>
        <w:t>”</w:t>
      </w:r>
    </w:p>
    <w:p w14:paraId="52BB3D7B">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楷体_GB2312" w:cs="Times New Roman"/>
          <w:b w:val="0"/>
          <w:bCs w:val="0"/>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晨午检系统实时信息属于</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原始个人隐私数据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，直接共享不符合</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原始数据不出域</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原则，需</w:t>
      </w:r>
      <w:r>
        <w:rPr>
          <w:rFonts w:hint="default" w:ascii="Times New Roman" w:hAnsi="Times New Roman" w:eastAsia="方正仿宋_GB2312" w:cs="Times New Roman"/>
          <w:color w:val="auto"/>
          <w:sz w:val="32"/>
          <w:szCs w:val="32"/>
          <w:lang w:val="en-US" w:eastAsia="zh-CN"/>
        </w:rPr>
        <w:t>进行脱敏</w:t>
      </w:r>
      <w:r>
        <w:rPr>
          <w:rFonts w:hint="eastAsia" w:ascii="Times New Roman" w:hAnsi="Times New Roman" w:eastAsia="方正仿宋_GB2312" w:cs="Times New Roman"/>
          <w:color w:val="auto"/>
          <w:sz w:val="32"/>
          <w:szCs w:val="32"/>
          <w:lang w:val="en-US" w:eastAsia="zh-CN"/>
        </w:rPr>
        <w:t>或</w:t>
      </w:r>
      <w:r>
        <w:rPr>
          <w:rFonts w:hint="default" w:ascii="Times New Roman" w:hAnsi="Times New Roman" w:eastAsia="方正仿宋_GB2312" w:cs="Times New Roman"/>
          <w:color w:val="auto"/>
          <w:sz w:val="32"/>
          <w:szCs w:val="32"/>
        </w:rPr>
        <w:t>转换为非原始数据形式后方可提供。</w:t>
      </w:r>
    </w:p>
    <w:p w14:paraId="390C7720">
      <w:pPr>
        <w:pStyle w:val="4"/>
        <w:keepNext w:val="0"/>
        <w:keepLines w:val="0"/>
        <w:pageBreakBefore w:val="0"/>
        <w:widowControl w:val="0"/>
        <w:kinsoku/>
        <w:wordWrap/>
        <w:overflowPunct/>
        <w:topLinePunct w:val="0"/>
        <w:autoSpaceDE/>
        <w:autoSpaceDN/>
        <w:bidi w:val="0"/>
        <w:adjustRightInd/>
        <w:snapToGrid/>
        <w:spacing w:before="181" w:beforeLines="50" w:after="0" w:line="560" w:lineRule="exact"/>
        <w:ind w:left="0" w:firstLine="643" w:firstLineChars="200"/>
        <w:textAlignment w:val="auto"/>
        <w:rPr>
          <w:rFonts w:hint="default" w:ascii="Times New Roman" w:hAnsi="Times New Roman" w:eastAsia="方正楷体_GB2312" w:cs="Times New Roman"/>
          <w:b/>
          <w:bCs/>
          <w:color w:val="auto"/>
          <w:sz w:val="32"/>
          <w:szCs w:val="32"/>
        </w:rPr>
      </w:pPr>
      <w:r>
        <w:rPr>
          <w:rFonts w:hint="default" w:ascii="Times New Roman" w:hAnsi="Times New Roman" w:eastAsia="方正楷体_GB2312" w:cs="Times New Roman"/>
          <w:b/>
          <w:bCs/>
          <w:color w:val="auto"/>
          <w:sz w:val="32"/>
          <w:szCs w:val="32"/>
        </w:rPr>
        <w:t>（</w:t>
      </w:r>
      <w:r>
        <w:rPr>
          <w:rFonts w:hint="eastAsia" w:ascii="Times New Roman" w:hAnsi="Times New Roman" w:eastAsia="方正楷体_GB2312" w:cs="Times New Roman"/>
          <w:b/>
          <w:bCs/>
          <w:color w:val="auto"/>
          <w:sz w:val="32"/>
          <w:szCs w:val="32"/>
          <w:lang w:val="en-US" w:eastAsia="zh-CN"/>
        </w:rPr>
        <w:t>二</w:t>
      </w:r>
      <w:r>
        <w:rPr>
          <w:rFonts w:hint="default" w:ascii="Times New Roman" w:hAnsi="Times New Roman" w:eastAsia="方正楷体_GB2312" w:cs="Times New Roman"/>
          <w:b/>
          <w:bCs/>
          <w:color w:val="auto"/>
          <w:sz w:val="32"/>
          <w:szCs w:val="32"/>
        </w:rPr>
        <w:t>）教育领域专项法规约束</w:t>
      </w:r>
    </w:p>
    <w:p w14:paraId="23A4CC29">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1.</w:t>
      </w:r>
      <w:r>
        <w:rPr>
          <w:rFonts w:hint="default" w:ascii="Times New Roman" w:hAnsi="Times New Roman" w:eastAsia="方正仿宋_GB2312" w:cs="Times New Roman"/>
          <w:b/>
          <w:bCs/>
          <w:color w:val="auto"/>
          <w:sz w:val="32"/>
          <w:szCs w:val="32"/>
        </w:rPr>
        <w:t>《中小学生学籍管理办法》（</w:t>
      </w:r>
      <w:r>
        <w:rPr>
          <w:rFonts w:hint="default" w:ascii="Times New Roman" w:hAnsi="Times New Roman" w:eastAsia="方正仿宋_GB2312" w:cs="Times New Roman"/>
          <w:b/>
          <w:bCs/>
          <w:color w:val="auto"/>
          <w:sz w:val="32"/>
          <w:szCs w:val="32"/>
          <w:lang w:val="en-US" w:eastAsia="zh-CN"/>
        </w:rPr>
        <w:t>发文机关：</w:t>
      </w:r>
      <w:r>
        <w:rPr>
          <w:rFonts w:hint="default" w:ascii="Times New Roman" w:hAnsi="Times New Roman" w:eastAsia="方正仿宋_GB2312" w:cs="Times New Roman"/>
          <w:b/>
          <w:bCs/>
          <w:color w:val="auto"/>
          <w:sz w:val="32"/>
          <w:szCs w:val="32"/>
        </w:rPr>
        <w:t>教育部</w:t>
      </w:r>
      <w:r>
        <w:rPr>
          <w:rFonts w:hint="default" w:ascii="Times New Roman" w:hAnsi="Times New Roman" w:eastAsia="方正仿宋_GB2312" w:cs="Times New Roman"/>
          <w:b/>
          <w:bCs/>
          <w:color w:val="auto"/>
          <w:sz w:val="32"/>
          <w:szCs w:val="32"/>
          <w:lang w:eastAsia="zh-CN"/>
        </w:rPr>
        <w:t>，</w:t>
      </w:r>
      <w:r>
        <w:rPr>
          <w:rFonts w:hint="default" w:ascii="Times New Roman" w:hAnsi="Times New Roman" w:eastAsia="方正仿宋_GB2312" w:cs="Times New Roman"/>
          <w:b/>
          <w:bCs/>
          <w:color w:val="auto"/>
          <w:sz w:val="32"/>
          <w:szCs w:val="32"/>
          <w:lang w:val="en-US" w:eastAsia="zh-CN"/>
        </w:rPr>
        <w:t>文号：</w:t>
      </w:r>
      <w:r>
        <w:rPr>
          <w:rFonts w:hint="default" w:ascii="Times New Roman" w:hAnsi="Times New Roman" w:eastAsia="方正仿宋_GB2312" w:cs="Times New Roman"/>
          <w:b/>
          <w:bCs/>
          <w:color w:val="auto"/>
          <w:sz w:val="32"/>
          <w:szCs w:val="32"/>
        </w:rPr>
        <w:t>教基〔2025〕1号</w:t>
      </w:r>
      <w:r>
        <w:rPr>
          <w:rFonts w:hint="default" w:ascii="Times New Roman" w:hAnsi="Times New Roman" w:eastAsia="方正仿宋_GB2312" w:cs="Times New Roman"/>
          <w:b/>
          <w:bCs/>
          <w:color w:val="auto"/>
          <w:sz w:val="32"/>
          <w:szCs w:val="32"/>
          <w:lang w:eastAsia="zh-CN"/>
        </w:rPr>
        <w:t>，</w:t>
      </w:r>
      <w:r>
        <w:rPr>
          <w:rFonts w:hint="default" w:ascii="Times New Roman" w:hAnsi="Times New Roman" w:eastAsia="方正仿宋_GB2312" w:cs="Times New Roman"/>
          <w:b/>
          <w:bCs/>
          <w:color w:val="auto"/>
          <w:sz w:val="32"/>
          <w:szCs w:val="32"/>
          <w:lang w:val="en-US" w:eastAsia="zh-CN"/>
        </w:rPr>
        <w:t>发文日期：2025年1月3日</w:t>
      </w:r>
      <w:r>
        <w:rPr>
          <w:rFonts w:hint="default" w:ascii="Times New Roman" w:hAnsi="Times New Roman" w:eastAsia="方正仿宋_GB2312" w:cs="Times New Roman"/>
          <w:b/>
          <w:bCs/>
          <w:color w:val="auto"/>
          <w:sz w:val="32"/>
          <w:szCs w:val="32"/>
        </w:rPr>
        <w:t>）</w:t>
      </w:r>
    </w:p>
    <w:p w14:paraId="434CF2F1">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该办法第二十四条明确规定：</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除法律法规有明确规定或经县级以上人民政府批准的，任何学生学籍信息不得向外提供。向外提供的学生学籍信息应依法依规进行脱敏或匿名化处理</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严防学籍信息滥用。。</w:t>
      </w:r>
      <w:r>
        <w:rPr>
          <w:rFonts w:hint="default" w:ascii="Times New Roman" w:hAnsi="Times New Roman" w:eastAsia="方正仿宋_GB2312" w:cs="Times New Roman"/>
          <w:color w:val="auto"/>
          <w:sz w:val="32"/>
          <w:szCs w:val="32"/>
          <w:lang w:eastAsia="zh-CN"/>
        </w:rPr>
        <w:t>”</w:t>
      </w:r>
    </w:p>
    <w:p w14:paraId="11B3B1C3">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晨午检系统包含学生身份识别信息及关联的健康状况数据，与学籍管理紧密相关，属于该办法保护的敏感信息范畴。未经县级以上人民政府批准、未做脱敏处理直接共享</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违反上述保密与合规使用要求。</w:t>
      </w:r>
    </w:p>
    <w:p w14:paraId="715EA33D">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2.</w:t>
      </w:r>
      <w:r>
        <w:rPr>
          <w:rFonts w:hint="default" w:ascii="Times New Roman" w:hAnsi="Times New Roman" w:eastAsia="方正仿宋_GB2312" w:cs="Times New Roman"/>
          <w:b/>
          <w:bCs/>
          <w:color w:val="auto"/>
          <w:sz w:val="32"/>
          <w:szCs w:val="32"/>
        </w:rPr>
        <w:t>《教育统计管理规定》</w:t>
      </w:r>
      <w:r>
        <w:rPr>
          <w:rFonts w:hint="default" w:ascii="Times New Roman" w:hAnsi="Times New Roman" w:eastAsia="方正仿宋_GB2312" w:cs="Times New Roman"/>
          <w:b/>
          <w:bCs/>
          <w:color w:val="auto"/>
          <w:sz w:val="32"/>
          <w:szCs w:val="32"/>
          <w:lang w:eastAsia="zh-CN"/>
        </w:rPr>
        <w:t>（中华人民共和国教育部令第44号，</w:t>
      </w:r>
      <w:r>
        <w:rPr>
          <w:rFonts w:hint="default" w:ascii="Times New Roman" w:hAnsi="Times New Roman" w:eastAsia="方正仿宋_GB2312" w:cs="Times New Roman"/>
          <w:b/>
          <w:bCs/>
          <w:color w:val="auto"/>
          <w:sz w:val="32"/>
          <w:szCs w:val="32"/>
          <w:lang w:val="en-US" w:eastAsia="zh-CN"/>
        </w:rPr>
        <w:t>发文时间：2018年6月25日</w:t>
      </w:r>
      <w:r>
        <w:rPr>
          <w:rFonts w:hint="default" w:ascii="Times New Roman" w:hAnsi="Times New Roman" w:eastAsia="方正仿宋_GB2312" w:cs="Times New Roman"/>
          <w:b/>
          <w:bCs/>
          <w:color w:val="auto"/>
          <w:sz w:val="32"/>
          <w:szCs w:val="32"/>
          <w:lang w:eastAsia="zh-CN"/>
        </w:rPr>
        <w:t>）</w:t>
      </w:r>
    </w:p>
    <w:p w14:paraId="2DBA9012">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该规定第三十一条明确：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教育统计调查中获得的能够识别或者推断单个统计调查对象身份的资料，任何单位和个人不得对外提供、泄露。</w:t>
      </w:r>
      <w:r>
        <w:rPr>
          <w:rFonts w:hint="default" w:ascii="Times New Roman" w:hAnsi="Times New Roman" w:eastAsia="方正仿宋_GB2312" w:cs="Times New Roman"/>
          <w:color w:val="auto"/>
          <w:sz w:val="32"/>
          <w:szCs w:val="32"/>
          <w:lang w:eastAsia="zh-CN"/>
        </w:rPr>
        <w:t>”</w:t>
      </w:r>
    </w:p>
    <w:p w14:paraId="1CCA8829">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晨午检系统每日实时信息可精准定位至师生个体（如具体学校、班级、姓名关联的</w:t>
      </w:r>
      <w:r>
        <w:rPr>
          <w:rFonts w:hint="eastAsia" w:ascii="Times New Roman" w:hAnsi="Times New Roman" w:eastAsia="方正仿宋_GB2312" w:cs="Times New Roman"/>
          <w:color w:val="auto"/>
          <w:sz w:val="32"/>
          <w:szCs w:val="32"/>
          <w:lang w:val="en-US" w:eastAsia="zh-CN"/>
        </w:rPr>
        <w:t>健康数据</w:t>
      </w:r>
      <w:r>
        <w:rPr>
          <w:rFonts w:hint="default" w:ascii="Times New Roman" w:hAnsi="Times New Roman" w:eastAsia="方正仿宋_GB2312" w:cs="Times New Roman"/>
          <w:color w:val="auto"/>
          <w:sz w:val="32"/>
          <w:szCs w:val="32"/>
        </w:rPr>
        <w:t>），属于</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能够识别或者推断单个统计调查对象身份的资料</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。随意共享</w:t>
      </w:r>
      <w:r>
        <w:rPr>
          <w:rFonts w:hint="eastAsia" w:ascii="Times New Roman" w:hAnsi="Times New Roman" w:eastAsia="方正仿宋_GB2312" w:cs="Times New Roman"/>
          <w:color w:val="auto"/>
          <w:sz w:val="32"/>
          <w:szCs w:val="32"/>
          <w:lang w:val="en-US" w:eastAsia="zh-CN"/>
        </w:rPr>
        <w:t>将</w:t>
      </w:r>
      <w:r>
        <w:rPr>
          <w:rFonts w:hint="default" w:ascii="Times New Roman" w:hAnsi="Times New Roman" w:eastAsia="方正仿宋_GB2312" w:cs="Times New Roman"/>
          <w:color w:val="auto"/>
          <w:sz w:val="32"/>
          <w:szCs w:val="32"/>
        </w:rPr>
        <w:t>违反该</w:t>
      </w:r>
      <w:r>
        <w:rPr>
          <w:rFonts w:hint="eastAsia" w:ascii="Times New Roman" w:hAnsi="Times New Roman" w:eastAsia="方正仿宋_GB2312" w:cs="Times New Roman"/>
          <w:color w:val="auto"/>
          <w:sz w:val="32"/>
          <w:szCs w:val="32"/>
          <w:lang w:val="en-US" w:eastAsia="zh-CN"/>
        </w:rPr>
        <w:t>项规</w:t>
      </w:r>
      <w:r>
        <w:rPr>
          <w:rFonts w:hint="default" w:ascii="Times New Roman" w:hAnsi="Times New Roman" w:eastAsia="方正仿宋_GB2312" w:cs="Times New Roman"/>
          <w:color w:val="auto"/>
          <w:sz w:val="32"/>
          <w:szCs w:val="32"/>
        </w:rPr>
        <w:t>定。</w:t>
      </w:r>
    </w:p>
    <w:p w14:paraId="4CB9E5DB">
      <w:pPr>
        <w:pStyle w:val="4"/>
        <w:keepNext w:val="0"/>
        <w:keepLines w:val="0"/>
        <w:pageBreakBefore w:val="0"/>
        <w:widowControl w:val="0"/>
        <w:kinsoku/>
        <w:wordWrap/>
        <w:overflowPunct/>
        <w:topLinePunct w:val="0"/>
        <w:autoSpaceDE/>
        <w:autoSpaceDN/>
        <w:bidi w:val="0"/>
        <w:adjustRightInd/>
        <w:snapToGrid/>
        <w:spacing w:before="181" w:beforeLines="50" w:after="0" w:line="560" w:lineRule="exact"/>
        <w:ind w:left="0" w:firstLine="643" w:firstLineChars="200"/>
        <w:textAlignment w:val="auto"/>
        <w:rPr>
          <w:rFonts w:hint="default" w:ascii="Times New Roman" w:hAnsi="Times New Roman" w:eastAsia="方正楷体_GB2312" w:cs="Times New Roman"/>
          <w:b w:val="0"/>
          <w:bCs w:val="0"/>
          <w:color w:val="auto"/>
          <w:sz w:val="32"/>
          <w:szCs w:val="32"/>
        </w:rPr>
      </w:pPr>
      <w:r>
        <w:rPr>
          <w:rFonts w:hint="default" w:ascii="Times New Roman" w:hAnsi="Times New Roman" w:eastAsia="方正楷体_GB2312" w:cs="Times New Roman"/>
          <w:b/>
          <w:bCs/>
          <w:color w:val="auto"/>
          <w:sz w:val="32"/>
          <w:szCs w:val="32"/>
        </w:rPr>
        <w:t>（三）新疆维吾尔自治区地方制度要求</w:t>
      </w:r>
    </w:p>
    <w:p w14:paraId="2F67F47B">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b/>
          <w:bCs/>
          <w:color w:val="auto"/>
          <w:sz w:val="32"/>
          <w:szCs w:val="32"/>
          <w:lang w:eastAsia="zh-CN"/>
        </w:rPr>
      </w:pPr>
      <w:r>
        <w:rPr>
          <w:rFonts w:hint="default" w:ascii="Times New Roman" w:hAnsi="Times New Roman" w:eastAsia="方正仿宋_GB2312" w:cs="Times New Roman"/>
          <w:b w:val="0"/>
          <w:bCs w:val="0"/>
          <w:color w:val="auto"/>
          <w:sz w:val="32"/>
          <w:szCs w:val="32"/>
        </w:rPr>
        <w:t>1.</w:t>
      </w:r>
      <w:r>
        <w:rPr>
          <w:rFonts w:hint="default" w:ascii="Times New Roman" w:hAnsi="Times New Roman" w:eastAsia="方正仿宋_GB2312" w:cs="Times New Roman"/>
          <w:b/>
          <w:bCs/>
          <w:color w:val="auto"/>
          <w:sz w:val="32"/>
          <w:szCs w:val="32"/>
        </w:rPr>
        <w:t>《新疆维吾尔自治区公共数据管理办法（试行）》</w:t>
      </w:r>
      <w:r>
        <w:rPr>
          <w:rFonts w:hint="default" w:ascii="Times New Roman" w:hAnsi="Times New Roman" w:eastAsia="方正仿宋_GB2312" w:cs="Times New Roman"/>
          <w:b/>
          <w:bCs/>
          <w:color w:val="auto"/>
          <w:sz w:val="32"/>
          <w:szCs w:val="32"/>
          <w:lang w:eastAsia="zh-CN"/>
        </w:rPr>
        <w:t>（</w:t>
      </w:r>
      <w:r>
        <w:rPr>
          <w:rFonts w:hint="default" w:ascii="Times New Roman" w:hAnsi="Times New Roman" w:eastAsia="方正仿宋_GB2312" w:cs="Times New Roman"/>
          <w:b/>
          <w:bCs/>
          <w:color w:val="auto"/>
          <w:sz w:val="32"/>
          <w:szCs w:val="32"/>
          <w:lang w:val="en-US" w:eastAsia="zh-CN"/>
        </w:rPr>
        <w:t>发文机关：新疆维吾尔自治区人民政府办公厅，文号：新政办发〔2023〕11号，发文时间：2023年2月17日</w:t>
      </w:r>
      <w:r>
        <w:rPr>
          <w:rFonts w:hint="default" w:ascii="Times New Roman" w:hAnsi="Times New Roman" w:eastAsia="方正仿宋_GB2312" w:cs="Times New Roman"/>
          <w:b/>
          <w:bCs/>
          <w:color w:val="auto"/>
          <w:sz w:val="32"/>
          <w:szCs w:val="32"/>
          <w:lang w:eastAsia="zh-CN"/>
        </w:rPr>
        <w:t>）</w:t>
      </w:r>
    </w:p>
    <w:p w14:paraId="4276CE00">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eastAsia"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rPr>
        <w:t>该办法明确：</w:t>
      </w:r>
      <w:r>
        <w:rPr>
          <w:rFonts w:hint="default"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‘原始数据不出笼’，优先以数据接口、数据模型、核验服务等非原始数据形式提供，严禁未经脱敏、脱密处理的原始公共数据直接共享或开放</w:t>
      </w:r>
      <w:r>
        <w:rPr>
          <w:rFonts w:hint="eastAsia" w:ascii="Times New Roman" w:hAnsi="Times New Roman" w:eastAsia="方正仿宋_GB2312" w:cs="Times New Roman"/>
          <w:color w:val="auto"/>
          <w:sz w:val="32"/>
          <w:szCs w:val="32"/>
          <w:lang w:eastAsia="zh-CN"/>
        </w:rPr>
        <w:t>……</w:t>
      </w:r>
    </w:p>
    <w:p w14:paraId="38ECD193">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晨午检系统实时信息属于</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未脱敏的原始公共数据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，直接共享违反</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原始数据不出笼</w:t>
      </w:r>
      <w:r>
        <w:rPr>
          <w:rFonts w:hint="default" w:ascii="Times New Roman" w:hAnsi="Times New Roman" w:eastAsia="方正仿宋_GB2312" w:cs="Times New Roman"/>
          <w:color w:val="auto"/>
          <w:sz w:val="32"/>
          <w:szCs w:val="32"/>
          <w:lang w:eastAsia="zh-CN"/>
        </w:rPr>
        <w:t>”</w:t>
      </w:r>
      <w:r>
        <w:rPr>
          <w:rFonts w:hint="eastAsia" w:ascii="Times New Roman" w:hAnsi="Times New Roman" w:eastAsia="方正仿宋_GB2312" w:cs="Times New Roman"/>
          <w:color w:val="auto"/>
          <w:sz w:val="32"/>
          <w:szCs w:val="32"/>
          <w:lang w:val="en-US" w:eastAsia="zh-CN"/>
        </w:rPr>
        <w:t>的</w:t>
      </w:r>
      <w:r>
        <w:rPr>
          <w:rFonts w:hint="default" w:ascii="Times New Roman" w:hAnsi="Times New Roman" w:eastAsia="方正仿宋_GB2312" w:cs="Times New Roman"/>
          <w:color w:val="auto"/>
          <w:sz w:val="32"/>
          <w:szCs w:val="32"/>
        </w:rPr>
        <w:t>地方管理规范。</w:t>
      </w:r>
    </w:p>
    <w:p w14:paraId="53E1C3BC">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方正仿宋_GB2312" w:cs="Times New Roman"/>
          <w:b/>
          <w:bCs/>
          <w:color w:val="auto"/>
          <w:sz w:val="32"/>
          <w:szCs w:val="32"/>
          <w:lang w:eastAsia="zh-CN"/>
        </w:rPr>
      </w:pPr>
      <w:r>
        <w:rPr>
          <w:rFonts w:hint="default" w:ascii="Times New Roman" w:hAnsi="Times New Roman" w:eastAsia="方正仿宋_GB2312" w:cs="Times New Roman"/>
          <w:b w:val="0"/>
          <w:bCs w:val="0"/>
          <w:color w:val="auto"/>
          <w:sz w:val="32"/>
          <w:szCs w:val="32"/>
        </w:rPr>
        <w:t>2.</w:t>
      </w:r>
      <w:r>
        <w:rPr>
          <w:rFonts w:hint="default" w:ascii="Times New Roman" w:hAnsi="Times New Roman" w:eastAsia="方正仿宋_GB2312" w:cs="Times New Roman"/>
          <w:b/>
          <w:bCs/>
          <w:color w:val="auto"/>
          <w:sz w:val="32"/>
          <w:szCs w:val="32"/>
        </w:rPr>
        <w:t>《新疆维吾尔自治区数据条例》</w:t>
      </w:r>
      <w:r>
        <w:rPr>
          <w:rFonts w:hint="default" w:ascii="Times New Roman" w:hAnsi="Times New Roman" w:eastAsia="方正仿宋_GB2312" w:cs="Times New Roman"/>
          <w:b/>
          <w:bCs/>
          <w:color w:val="auto"/>
          <w:sz w:val="32"/>
          <w:szCs w:val="32"/>
          <w:lang w:eastAsia="zh-CN"/>
        </w:rPr>
        <w:t>（</w:t>
      </w:r>
      <w:r>
        <w:rPr>
          <w:rFonts w:hint="default" w:ascii="Times New Roman" w:hAnsi="Times New Roman" w:eastAsia="方正仿宋_GB2312" w:cs="Times New Roman"/>
          <w:b/>
          <w:bCs/>
          <w:color w:val="auto"/>
          <w:sz w:val="32"/>
          <w:szCs w:val="32"/>
        </w:rPr>
        <w:t xml:space="preserve"> 2025 年 3 月 26  日新疆维吾尔自治区第十四届人民代表大会常务委员会第十九次会议通过</w:t>
      </w:r>
      <w:r>
        <w:rPr>
          <w:rFonts w:hint="default" w:ascii="Times New Roman" w:hAnsi="Times New Roman" w:eastAsia="方正仿宋_GB2312" w:cs="Times New Roman"/>
          <w:b/>
          <w:bCs/>
          <w:color w:val="auto"/>
          <w:sz w:val="32"/>
          <w:szCs w:val="32"/>
          <w:lang w:eastAsia="zh-CN"/>
        </w:rPr>
        <w:t>，</w:t>
      </w:r>
      <w:r>
        <w:rPr>
          <w:rFonts w:hint="default" w:ascii="Times New Roman" w:hAnsi="Times New Roman" w:eastAsia="方正仿宋_GB2312" w:cs="Times New Roman"/>
          <w:b/>
          <w:bCs/>
          <w:color w:val="auto"/>
          <w:sz w:val="32"/>
          <w:szCs w:val="32"/>
        </w:rPr>
        <w:t>自2025年5月1日起施行</w:t>
      </w:r>
      <w:r>
        <w:rPr>
          <w:rFonts w:hint="default" w:ascii="Times New Roman" w:hAnsi="Times New Roman" w:eastAsia="方正仿宋_GB2312" w:cs="Times New Roman"/>
          <w:b/>
          <w:bCs/>
          <w:color w:val="auto"/>
          <w:sz w:val="32"/>
          <w:szCs w:val="32"/>
          <w:lang w:eastAsia="zh-CN"/>
        </w:rPr>
        <w:t>）</w:t>
      </w:r>
    </w:p>
    <w:p w14:paraId="0D6304BD">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依据该条例相关数据分类原则，教育数据划分为共享类、限制共享类、不可共享类。晨午检系统实时信息包含师生健康状况细节等敏感隐私数据，应归类为</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限制共享类</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甚至</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不可共享类</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数据。</w:t>
      </w:r>
    </w:p>
    <w:p w14:paraId="4C737AA1">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方正仿宋_GB2312" w:cs="Times New Roman"/>
          <w:color w:val="auto"/>
          <w:sz w:val="32"/>
          <w:szCs w:val="32"/>
        </w:rPr>
      </w:pPr>
      <w:r>
        <w:rPr>
          <w:rFonts w:hint="eastAsia" w:ascii="Times New Roman" w:hAnsi="Times New Roman" w:eastAsia="方正仿宋_GB2312" w:cs="Times New Roman"/>
          <w:b/>
          <w:bCs/>
          <w:color w:val="auto"/>
          <w:sz w:val="32"/>
          <w:szCs w:val="32"/>
          <w:lang w:val="en-US" w:eastAsia="zh-CN"/>
        </w:rPr>
        <w:t>适用说明：</w:t>
      </w:r>
      <w:r>
        <w:rPr>
          <w:rFonts w:hint="default" w:ascii="Times New Roman" w:hAnsi="Times New Roman" w:eastAsia="方正仿宋_GB2312" w:cs="Times New Roman"/>
          <w:color w:val="auto"/>
          <w:sz w:val="32"/>
          <w:szCs w:val="32"/>
        </w:rPr>
        <w:t>此类数据共享需对共享对象的组织资质、信息安全防控机制进行全面审查。目前，</w:t>
      </w:r>
      <w:r>
        <w:rPr>
          <w:rFonts w:hint="eastAsia" w:ascii="Times New Roman" w:hAnsi="Times New Roman" w:eastAsia="方正仿宋_GB2312" w:cs="Times New Roman"/>
          <w:color w:val="auto"/>
          <w:sz w:val="32"/>
          <w:szCs w:val="32"/>
          <w:lang w:val="en-US" w:eastAsia="zh-CN"/>
        </w:rPr>
        <w:t>双方</w:t>
      </w:r>
      <w:r>
        <w:rPr>
          <w:rFonts w:hint="default" w:ascii="Times New Roman" w:hAnsi="Times New Roman" w:eastAsia="方正仿宋_GB2312" w:cs="Times New Roman"/>
          <w:color w:val="auto"/>
          <w:sz w:val="32"/>
          <w:szCs w:val="32"/>
        </w:rPr>
        <w:t>尚未建立符合上述条件的安全共享机制（如数据加密传输、访问权限管控、全流程审计等），无法推进实时信息共享。</w:t>
      </w:r>
    </w:p>
    <w:p w14:paraId="1CD8AE58">
      <w:pPr>
        <w:pStyle w:val="3"/>
        <w:keepNext w:val="0"/>
        <w:keepLines w:val="0"/>
        <w:pageBreakBefore w:val="0"/>
        <w:widowControl w:val="0"/>
        <w:kinsoku/>
        <w:wordWrap/>
        <w:overflowPunct/>
        <w:topLinePunct w:val="0"/>
        <w:autoSpaceDE/>
        <w:autoSpaceDN/>
        <w:bidi w:val="0"/>
        <w:adjustRightInd/>
        <w:snapToGrid/>
        <w:spacing w:before="361" w:beforeLines="100" w:after="0" w:line="560" w:lineRule="exact"/>
        <w:ind w:left="0"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三、后续工作建议</w:t>
      </w:r>
    </w:p>
    <w:p w14:paraId="220B1EAF">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为在合规前提下支撑传染病防控协同工作，我厅建议从以下方面</w:t>
      </w:r>
      <w:r>
        <w:rPr>
          <w:rFonts w:hint="eastAsia" w:ascii="Times New Roman" w:hAnsi="Times New Roman" w:eastAsia="方正仿宋_GB2312" w:cs="Times New Roman"/>
          <w:color w:val="auto"/>
          <w:sz w:val="32"/>
          <w:szCs w:val="32"/>
          <w:lang w:val="en-US" w:eastAsia="zh-CN"/>
        </w:rPr>
        <w:t>积极推进</w:t>
      </w:r>
      <w:r>
        <w:rPr>
          <w:rFonts w:hint="default" w:ascii="Times New Roman" w:hAnsi="Times New Roman" w:eastAsia="方正仿宋_GB2312" w:cs="Times New Roman"/>
          <w:color w:val="auto"/>
          <w:sz w:val="32"/>
          <w:szCs w:val="32"/>
        </w:rPr>
        <w:t>：</w:t>
      </w:r>
    </w:p>
    <w:p w14:paraId="543D88BD">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bCs/>
          <w:color w:val="auto"/>
          <w:sz w:val="32"/>
          <w:szCs w:val="32"/>
        </w:rPr>
        <w:t>1.启动数据安全风险评估</w:t>
      </w:r>
      <w:r>
        <w:rPr>
          <w:rFonts w:hint="default" w:ascii="Times New Roman" w:hAnsi="Times New Roman" w:eastAsia="方正仿宋_GB2312" w:cs="Times New Roman"/>
          <w:color w:val="auto"/>
          <w:sz w:val="32"/>
          <w:szCs w:val="32"/>
        </w:rPr>
        <w:t>：联合卫健</w:t>
      </w:r>
      <w:r>
        <w:rPr>
          <w:rFonts w:hint="eastAsia"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网信部门，对晨午检系统数据共享的安全风险进行专项评估，明确可共享数据范围、处理方式及安全防护措施。</w:t>
      </w:r>
    </w:p>
    <w:p w14:paraId="3BAAB1D3">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bCs/>
          <w:color w:val="auto"/>
          <w:sz w:val="32"/>
          <w:szCs w:val="32"/>
        </w:rPr>
        <w:t>2.</w:t>
      </w:r>
      <w:r>
        <w:rPr>
          <w:rFonts w:hint="eastAsia" w:ascii="Times New Roman" w:hAnsi="Times New Roman" w:eastAsia="方正仿宋_GB2312" w:cs="Times New Roman"/>
          <w:b/>
          <w:bCs/>
          <w:color w:val="auto"/>
          <w:sz w:val="32"/>
          <w:szCs w:val="32"/>
          <w:lang w:val="en-US" w:eastAsia="zh-CN"/>
        </w:rPr>
        <w:t>共同</w:t>
      </w:r>
      <w:r>
        <w:rPr>
          <w:rFonts w:hint="default" w:ascii="Times New Roman" w:hAnsi="Times New Roman" w:eastAsia="方正仿宋_GB2312" w:cs="Times New Roman"/>
          <w:b/>
          <w:bCs/>
          <w:color w:val="auto"/>
          <w:sz w:val="32"/>
          <w:szCs w:val="32"/>
        </w:rPr>
        <w:t>建立安全共享机制</w:t>
      </w:r>
      <w:r>
        <w:rPr>
          <w:rFonts w:hint="default" w:ascii="Times New Roman" w:hAnsi="Times New Roman" w:eastAsia="方正仿宋_GB2312" w:cs="Times New Roman"/>
          <w:color w:val="auto"/>
          <w:sz w:val="32"/>
          <w:szCs w:val="32"/>
        </w:rPr>
        <w:t>：双方共同制定数据共享协议，明确信息使用范围、期限及责任划分，搭建</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可用不可见</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的共享技术环境（如隐私计算平台、脱敏数据接口），确保原始数据不出域。</w:t>
      </w:r>
    </w:p>
    <w:p w14:paraId="747609F2">
      <w:pPr>
        <w:pStyle w:val="20"/>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3"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bCs/>
          <w:color w:val="auto"/>
          <w:sz w:val="32"/>
          <w:szCs w:val="32"/>
        </w:rPr>
        <w:t>3.</w:t>
      </w:r>
      <w:r>
        <w:rPr>
          <w:rFonts w:hint="eastAsia" w:ascii="Times New Roman" w:hAnsi="Times New Roman" w:eastAsia="方正仿宋_GB2312" w:cs="Times New Roman"/>
          <w:b/>
          <w:bCs/>
          <w:color w:val="auto"/>
          <w:sz w:val="32"/>
          <w:szCs w:val="32"/>
          <w:lang w:val="en-US" w:eastAsia="zh-CN"/>
        </w:rPr>
        <w:t>加快</w:t>
      </w:r>
      <w:r>
        <w:rPr>
          <w:rFonts w:hint="default" w:ascii="Times New Roman" w:hAnsi="Times New Roman" w:eastAsia="方正仿宋_GB2312" w:cs="Times New Roman"/>
          <w:b/>
          <w:bCs/>
          <w:color w:val="auto"/>
          <w:sz w:val="32"/>
          <w:szCs w:val="32"/>
        </w:rPr>
        <w:t>推进数据合规处理：</w:t>
      </w:r>
      <w:r>
        <w:rPr>
          <w:rFonts w:hint="default" w:ascii="Times New Roman" w:hAnsi="Times New Roman" w:eastAsia="方正仿宋_GB2312" w:cs="Times New Roman"/>
          <w:color w:val="auto"/>
          <w:sz w:val="32"/>
          <w:szCs w:val="32"/>
        </w:rPr>
        <w:t>对晨午检系统数据进行脱敏、匿名化处理，去除可识别个人身份的信息，形成统计类、核验类数据产品，按</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非原始数据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rPr>
        <w:t>形式提供给卫健大疫情系统使用。</w:t>
      </w:r>
    </w:p>
    <w:p w14:paraId="4A603839">
      <w:pPr>
        <w:pStyle w:val="20"/>
        <w:keepNext w:val="0"/>
        <w:keepLines w:val="0"/>
        <w:pageBreakBefore w:val="0"/>
        <w:widowControl w:val="0"/>
        <w:kinsoku/>
        <w:wordWrap/>
        <w:overflowPunct/>
        <w:topLinePunct w:val="0"/>
        <w:autoSpaceDE/>
        <w:autoSpaceDN/>
        <w:bidi w:val="0"/>
        <w:adjustRightInd/>
        <w:snapToGrid/>
        <w:spacing w:before="0" w:after="1441" w:afterLines="400" w:line="560" w:lineRule="exact"/>
        <w:ind w:left="0" w:firstLine="640"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以上</w:t>
      </w:r>
      <w:r>
        <w:rPr>
          <w:rFonts w:hint="eastAsia" w:ascii="Times New Roman" w:hAnsi="Times New Roman" w:eastAsia="方正仿宋_GB2312" w:cs="Times New Roman"/>
          <w:color w:val="auto"/>
          <w:sz w:val="32"/>
          <w:szCs w:val="32"/>
          <w:lang w:val="en-US" w:eastAsia="zh-CN"/>
        </w:rPr>
        <w:t>情况，特此说明</w:t>
      </w:r>
      <w:r>
        <w:rPr>
          <w:rFonts w:hint="default" w:ascii="Times New Roman" w:hAnsi="Times New Roman" w:eastAsia="方正仿宋_GB2312" w:cs="Times New Roman"/>
          <w:color w:val="auto"/>
          <w:sz w:val="32"/>
          <w:szCs w:val="32"/>
        </w:rPr>
        <w:t>。如有进一步</w:t>
      </w:r>
      <w:r>
        <w:rPr>
          <w:rFonts w:hint="default" w:ascii="Times New Roman" w:hAnsi="Times New Roman" w:eastAsia="方正仿宋_GB2312" w:cs="Times New Roman"/>
          <w:color w:val="auto"/>
          <w:sz w:val="32"/>
          <w:szCs w:val="32"/>
          <w:lang w:val="en-US" w:eastAsia="zh-CN"/>
        </w:rPr>
        <w:t>意见</w:t>
      </w:r>
      <w:r>
        <w:rPr>
          <w:rFonts w:hint="default" w:ascii="Times New Roman" w:hAnsi="Times New Roman" w:eastAsia="方正仿宋_GB2312" w:cs="Times New Roman"/>
          <w:color w:val="auto"/>
          <w:sz w:val="32"/>
          <w:szCs w:val="32"/>
        </w:rPr>
        <w:t>，</w:t>
      </w:r>
      <w:r>
        <w:rPr>
          <w:rFonts w:hint="default" w:ascii="Times New Roman" w:hAnsi="Times New Roman" w:eastAsia="方正仿宋_GB2312" w:cs="Times New Roman"/>
          <w:color w:val="auto"/>
          <w:sz w:val="32"/>
          <w:szCs w:val="32"/>
          <w:lang w:val="en-US" w:eastAsia="zh-CN"/>
        </w:rPr>
        <w:t>请及时反馈</w:t>
      </w:r>
      <w:r>
        <w:rPr>
          <w:rFonts w:hint="default" w:ascii="Times New Roman" w:hAnsi="Times New Roman" w:eastAsia="方正仿宋_GB2312" w:cs="Times New Roman"/>
          <w:color w:val="auto"/>
          <w:sz w:val="32"/>
          <w:szCs w:val="32"/>
        </w:rPr>
        <w:t>我厅。</w:t>
      </w:r>
    </w:p>
    <w:p w14:paraId="0800C4A0">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5120" w:firstLineChars="1600"/>
        <w:jc w:val="right"/>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lang w:val="en-US" w:eastAsia="zh-CN"/>
        </w:rPr>
        <w:t>自治区</w:t>
      </w:r>
      <w:r>
        <w:rPr>
          <w:rFonts w:hint="default" w:ascii="Times New Roman" w:hAnsi="Times New Roman" w:eastAsia="方正仿宋_GB2312" w:cs="Times New Roman"/>
          <w:color w:val="auto"/>
          <w:sz w:val="32"/>
          <w:szCs w:val="32"/>
        </w:rPr>
        <w:t>教育厅</w:t>
      </w:r>
    </w:p>
    <w:p w14:paraId="4AB292DE">
      <w:pPr>
        <w:pStyle w:val="20"/>
        <w:keepNext w:val="0"/>
        <w:keepLines w:val="0"/>
        <w:pageBreakBefore w:val="0"/>
        <w:widowControl w:val="0"/>
        <w:kinsoku/>
        <w:wordWrap/>
        <w:overflowPunct/>
        <w:topLinePunct w:val="0"/>
        <w:autoSpaceDE/>
        <w:autoSpaceDN/>
        <w:bidi w:val="0"/>
        <w:adjustRightInd/>
        <w:snapToGrid/>
        <w:spacing w:before="0" w:after="0" w:line="560" w:lineRule="exact"/>
        <w:ind w:left="0" w:firstLine="5120" w:firstLineChars="1600"/>
        <w:jc w:val="right"/>
        <w:textAlignment w:val="auto"/>
        <w:rPr>
          <w:rFonts w:hint="eastAsia"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二〇二</w:t>
      </w:r>
      <w:bookmarkStart w:id="0" w:name="_GoBack"/>
      <w:bookmarkEnd w:id="0"/>
      <w:r>
        <w:rPr>
          <w:rFonts w:hint="default" w:ascii="Times New Roman" w:hAnsi="Times New Roman" w:eastAsia="方正仿宋_GB2312" w:cs="Times New Roman"/>
          <w:color w:val="auto"/>
          <w:sz w:val="32"/>
          <w:szCs w:val="32"/>
          <w:lang w:val="en-US" w:eastAsia="zh-CN"/>
        </w:rPr>
        <w:t>五年八月二十三日</w:t>
      </w:r>
    </w:p>
    <w:sectPr>
      <w:footerReference r:id="rId3" w:type="default"/>
      <w:pgSz w:w="11906" w:h="16838"/>
      <w:pgMar w:top="2007" w:right="1440" w:bottom="2007" w:left="1440" w:header="708" w:footer="1077" w:gutter="0"/>
      <w:pgNumType w:fmt="numberIn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E47192-DC1E-4F62-9487-3FED7E4B08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A00002BF" w:usb1="38CF7CFA" w:usb2="00082016" w:usb3="00000000" w:csb0="00040001" w:csb1="00000000"/>
    <w:embedRegular r:id="rId2" w:fontKey="{AF9C1FB1-7CEE-4CC8-A77D-1748808F5132}"/>
  </w:font>
  <w:font w:name="方正仿宋_GB2312">
    <w:panose1 w:val="02000000000000000000"/>
    <w:charset w:val="86"/>
    <w:family w:val="auto"/>
    <w:pitch w:val="default"/>
    <w:sig w:usb0="A00002BF" w:usb1="184F6CFA" w:usb2="00000012" w:usb3="00000000" w:csb0="00040001" w:csb1="00000000"/>
    <w:embedRegular r:id="rId3" w:fontKey="{6FD71F35-3D05-4B9E-9A23-2FBA6A91F709}"/>
  </w:font>
  <w:font w:name="方正楷体_GB2312">
    <w:panose1 w:val="02000000000000000000"/>
    <w:charset w:val="86"/>
    <w:family w:val="auto"/>
    <w:pitch w:val="default"/>
    <w:sig w:usb0="A00002BF" w:usb1="184F6CFA" w:usb2="00000012" w:usb3="00000000" w:csb0="00040001" w:csb1="00000000"/>
    <w:embedRegular r:id="rId4" w:fontKey="{EC48E596-7929-455E-AB72-0479363EB7CF}"/>
  </w:font>
  <w:font w:name="WPSEMBED1">
    <w:panose1 w:val="02000000000000000000"/>
    <w:charset w:val="86"/>
    <w:family w:val="auto"/>
    <w:pitch w:val="default"/>
    <w:sig w:usb0="A00002BF" w:usb1="184F6CFA" w:usb2="00000012"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9568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025F35">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025F35">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5"/>
  </w:compat>
  <w:rsids>
    <w:rsidRoot w:val="00000000"/>
    <w:rsid w:val="006D6F3B"/>
    <w:rsid w:val="0A0D52EB"/>
    <w:rsid w:val="0D755681"/>
    <w:rsid w:val="1B0167A6"/>
    <w:rsid w:val="2232642A"/>
    <w:rsid w:val="2AA352D4"/>
    <w:rsid w:val="2FE5560B"/>
    <w:rsid w:val="34A73A73"/>
    <w:rsid w:val="39C8586E"/>
    <w:rsid w:val="485A1120"/>
    <w:rsid w:val="55E275F4"/>
    <w:rsid w:val="730E27CE"/>
    <w:rsid w:val="769B77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8">
    <w:name w:val="Body Text"/>
    <w:basedOn w:val="1"/>
    <w:semiHidden/>
    <w:qFormat/>
    <w:uiPriority w:val="0"/>
    <w:rPr>
      <w:rFonts w:ascii="微软雅黑" w:hAnsi="微软雅黑" w:eastAsia="微软雅黑" w:cs="微软雅黑"/>
      <w:sz w:val="31"/>
      <w:szCs w:val="31"/>
      <w:lang w:val="en-US" w:eastAsia="en-US" w:bidi="ar-SA"/>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footnote text"/>
    <w:link w:val="19"/>
    <w:semiHidden/>
    <w:unhideWhenUsed/>
    <w:qFormat/>
    <w:uiPriority w:val="99"/>
    <w:pPr>
      <w:spacing w:after="0" w:line="240" w:lineRule="auto"/>
    </w:pPr>
    <w:rPr>
      <w:rFonts w:asciiTheme="minorHAnsi" w:hAnsiTheme="minorHAnsi" w:eastAsiaTheme="minorEastAsia" w:cstheme="minorBidi"/>
      <w:sz w:val="20"/>
      <w:szCs w:val="20"/>
    </w:rPr>
  </w:style>
  <w:style w:type="paragraph" w:styleId="12">
    <w:name w:val="Title"/>
    <w:qFormat/>
    <w:uiPriority w:val="0"/>
    <w:pPr>
      <w:spacing w:before="480" w:after="480" w:line="288" w:lineRule="auto"/>
      <w:ind w:left="0"/>
    </w:pPr>
    <w:rPr>
      <w:rFonts w:ascii="Arial" w:hAnsi="Arial" w:eastAsia="等线" w:cs="Arial"/>
      <w:b/>
      <w:bCs/>
      <w:sz w:val="52"/>
      <w:szCs w:val="52"/>
    </w:rPr>
  </w:style>
  <w:style w:type="character" w:styleId="15">
    <w:name w:val="Strong"/>
    <w:basedOn w:val="14"/>
    <w:qFormat/>
    <w:uiPriority w:val="0"/>
    <w:rPr>
      <w:b/>
    </w:rPr>
  </w:style>
  <w:style w:type="character" w:styleId="16">
    <w:name w:val="Hyperlink"/>
    <w:unhideWhenUsed/>
    <w:qFormat/>
    <w:uiPriority w:val="99"/>
    <w:rPr>
      <w:color w:val="0563C1"/>
      <w:u w:val="single"/>
    </w:rPr>
  </w:style>
  <w:style w:type="character" w:styleId="17">
    <w:name w:val="footnote reference"/>
    <w:semiHidden/>
    <w:unhideWhenUsed/>
    <w:qFormat/>
    <w:uiPriority w:val="99"/>
    <w:rPr>
      <w:vertAlign w:val="superscript"/>
    </w:rPr>
  </w:style>
  <w:style w:type="paragraph" w:styleId="18">
    <w:name w:val="List Paragraph"/>
    <w:qFormat/>
    <w:uiPriority w:val="0"/>
    <w:rPr>
      <w:rFonts w:asciiTheme="minorHAnsi" w:hAnsiTheme="minorHAnsi" w:eastAsiaTheme="minorEastAsia" w:cstheme="minorBidi"/>
      <w:sz w:val="21"/>
      <w:szCs w:val="22"/>
    </w:rPr>
  </w:style>
  <w:style w:type="character" w:customStyle="1" w:styleId="19">
    <w:name w:val="Footnote Text Char"/>
    <w:link w:val="11"/>
    <w:semiHidden/>
    <w:unhideWhenUsed/>
    <w:qFormat/>
    <w:uiPriority w:val="99"/>
    <w:rPr>
      <w:sz w:val="20"/>
      <w:szCs w:val="20"/>
    </w:rPr>
  </w:style>
  <w:style w:type="paragraph" w:customStyle="1" w:styleId="20">
    <w:name w:val="_Style 13"/>
    <w:qFormat/>
    <w:uiPriority w:val="0"/>
    <w:pPr>
      <w:spacing w:before="120" w:after="120" w:line="288" w:lineRule="auto"/>
      <w:ind w:left="0"/>
      <w:jc w:val="left"/>
    </w:pPr>
    <w:rPr>
      <w:rFonts w:ascii="Arial" w:hAnsi="Arial" w:eastAsia="等线" w:cs="Arial"/>
      <w:sz w:val="22"/>
      <w:szCs w:val="22"/>
    </w:rPr>
  </w:style>
  <w:style w:type="paragraph" w:customStyle="1" w:styleId="21">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2539</Words>
  <Characters>2600</Characters>
  <TotalTime>49</TotalTime>
  <ScaleCrop>false</ScaleCrop>
  <LinksUpToDate>false</LinksUpToDate>
  <CharactersWithSpaces>2607</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2025-08-23T07:22:00Z</dcterms:created>
  <dc:creator>Un-named</dc:creator>
  <cp:lastModifiedBy>鹿十二</cp:lastModifiedBy>
  <dcterms:modified xsi:type="dcterms:W3CDTF">2025-08-23T13:23:03Z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eyJoZGlkIjoiYzM5MDA1NmY1YTgzZGU0MDI1OTIwNGE1MmNmM2Y2MDAiLCJ1c2VySWQiOiIxMDA0MDkyODU2In0=</vt:lpwstr>
  </property>
  <property fmtid="{D5CDD505-2E9C-101B-9397-08002B2CF9AE}" pid="3" name="KSOProductBuildVer">
    <vt:lpwstr>2052-12.1.0.22529</vt:lpwstr>
  </property>
  <property fmtid="{D5CDD505-2E9C-101B-9397-08002B2CF9AE}" pid="4" name="ICV">
    <vt:lpwstr>C47E7186F21D48CA89BA90C87A686CFB_13</vt:lpwstr>
  </property>
</Properties>
</file>