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29EF2">
      <w:pPr>
        <w:pStyle w:val="3"/>
        <w:bidi w:val="0"/>
        <w:spacing w:beforeLines="-2147483648" w:beforeAutospacing="0" w:afterLines="-2147483648" w:afterAutospacing="0" w:line="578" w:lineRule="auto"/>
        <w:jc w:val="center"/>
        <w:rPr>
          <w:rFonts w:hint="eastAsia" w:ascii="楷体" w:hAnsi="楷体" w:eastAsia="楷体" w:cs="楷体"/>
          <w:bCs/>
          <w:sz w:val="48"/>
          <w:szCs w:val="48"/>
          <w:lang w:val="en-US" w:eastAsia="zh-CN"/>
        </w:rPr>
      </w:pPr>
      <w:r>
        <w:rPr>
          <w:rFonts w:hint="eastAsia" w:ascii="楷体" w:hAnsi="楷体" w:eastAsia="楷体" w:cs="楷体"/>
          <w:bCs/>
          <w:sz w:val="48"/>
          <w:szCs w:val="48"/>
          <w:lang w:val="en-US" w:eastAsia="zh-CN"/>
        </w:rPr>
        <w:t>数据与网络安全应急处理预案</w:t>
      </w:r>
    </w:p>
    <w:p w14:paraId="1A26F97D">
      <w:pPr>
        <w:numPr>
          <w:ilvl w:val="-1"/>
          <w:numId w:val="0"/>
        </w:numPr>
        <w:kinsoku w:val="0"/>
        <w:topLinePunct/>
        <w:spacing w:before="312" w:beforeLines="100" w:after="315" w:afterLines="100" w:line="360" w:lineRule="auto"/>
        <w:ind w:left="1470" w:leftChars="700" w:firstLine="1325" w:firstLineChars="300"/>
        <w:jc w:val="both"/>
        <w:textAlignment w:val="center"/>
        <w:outlineLvl w:val="0"/>
        <w:rPr>
          <w:rFonts w:hint="default" w:ascii="楷体" w:hAnsi="楷体" w:eastAsia="楷体" w:cs="宋体"/>
          <w:b/>
          <w:bCs/>
          <w:sz w:val="44"/>
          <w:szCs w:val="44"/>
          <w:lang w:val="en-US"/>
        </w:rPr>
      </w:pPr>
      <w:r>
        <w:rPr>
          <w:rFonts w:hint="eastAsia" w:ascii="楷体" w:hAnsi="楷体" w:eastAsia="楷体" w:cs="宋体"/>
          <w:b/>
          <w:bCs/>
          <w:sz w:val="44"/>
          <w:szCs w:val="44"/>
          <w:lang w:val="en-US" w:eastAsia="zh-CN"/>
        </w:rPr>
        <w:t>第一章  总则</w:t>
      </w:r>
    </w:p>
    <w:p w14:paraId="331DACA3">
      <w:pPr>
        <w:numPr>
          <w:ilvl w:val="0"/>
          <w:numId w:val="1"/>
        </w:numPr>
        <w:spacing w:beforeLines="0" w:line="360" w:lineRule="auto"/>
        <w:ind w:left="-426" w:leftChars="0" w:firstLine="426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目的与原则：明确应急处理预案的目的，即快速识别、响应、控制和减轻网络安全事件的影响，保护组织的资产、数据和业务连续性。同时，确立“预防为主、防治结合、统一指挥、分工协作、响应及时”的原则。</w:t>
      </w:r>
    </w:p>
    <w:p w14:paraId="4622DBE5">
      <w:pPr>
        <w:numPr>
          <w:ilvl w:val="0"/>
          <w:numId w:val="1"/>
        </w:numPr>
        <w:spacing w:beforeLines="0" w:line="360" w:lineRule="auto"/>
        <w:ind w:left="-426" w:leftChars="0" w:firstLine="426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适用范围：界定预案适用的网络安全事件类型，包括但不限于网络攻击、数据泄露、恶意软件感染、系统瘫痪等。</w:t>
      </w:r>
    </w:p>
    <w:p w14:paraId="4F4B59AA">
      <w:pPr>
        <w:numPr>
          <w:ilvl w:val="0"/>
          <w:numId w:val="1"/>
        </w:numPr>
        <w:spacing w:beforeLines="0" w:line="360" w:lineRule="auto"/>
        <w:ind w:left="-426" w:leftChars="0" w:firstLine="426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组织机构与职责：成立网络安全应急响应小组（以下简称“应急小组”），明确小组领导、成员及其职责分工，包括但不限于事件监测、分析、通报、处置、恢复及后续改进等环节。</w:t>
      </w:r>
    </w:p>
    <w:p w14:paraId="1861E3B7">
      <w:pPr>
        <w:pStyle w:val="4"/>
        <w:bidi w:val="0"/>
        <w:jc w:val="center"/>
        <w:outlineLvl w:val="0"/>
        <w:rPr>
          <w:rFonts w:hint="eastAsia"/>
        </w:rPr>
      </w:pPr>
      <w:r>
        <w:rPr>
          <w:rFonts w:hint="eastAsia" w:ascii="楷体" w:hAnsi="楷体" w:eastAsia="楷体" w:cs="宋体"/>
          <w:b/>
          <w:bCs/>
          <w:sz w:val="44"/>
          <w:szCs w:val="44"/>
          <w:lang w:val="en-US" w:eastAsia="zh-CN"/>
        </w:rPr>
        <w:t>第二章  预警与监测</w:t>
      </w:r>
    </w:p>
    <w:p w14:paraId="196A8887">
      <w:pPr>
        <w:numPr>
          <w:ilvl w:val="0"/>
          <w:numId w:val="2"/>
        </w:numPr>
        <w:spacing w:beforeLines="0" w:line="360" w:lineRule="auto"/>
        <w:ind w:left="-426" w:leftChars="0" w:firstLine="426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预防与预警机制</w:t>
      </w:r>
    </w:p>
    <w:p w14:paraId="24CEA771">
      <w:pPr>
        <w:pStyle w:val="2"/>
        <w:ind w:firstLine="420" w:firstLineChars="0"/>
        <w:outlineLvl w:val="2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1.预防措施</w:t>
      </w:r>
    </w:p>
    <w:p w14:paraId="3CD3DB66">
      <w:pPr>
        <w:pStyle w:val="2"/>
        <w:ind w:left="420" w:leftChars="0" w:firstLine="420" w:firstLineChars="0"/>
        <w:outlineLvl w:val="3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1.1.安全防护体系建设</w:t>
      </w:r>
    </w:p>
    <w:p w14:paraId="1C498526">
      <w:pPr>
        <w:pStyle w:val="2"/>
        <w:ind w:left="840"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部署防火墙、入侵检测 / 防御系统（IDS/IPS）、防病毒软件、加密设备等网络安全防护设备，对网络边界和内部网络进行保护。</w:t>
      </w:r>
    </w:p>
    <w:p w14:paraId="126B19C4">
      <w:pPr>
        <w:pStyle w:val="2"/>
        <w:ind w:left="840"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建立访问控制机制，对系统和数据资源的访问进行严格授权和认证，限制用户的访问权限。</w:t>
      </w:r>
    </w:p>
    <w:p w14:paraId="403E50AA">
      <w:pPr>
        <w:pStyle w:val="2"/>
        <w:ind w:left="420" w:leftChars="0" w:firstLine="420" w:firstLineChars="0"/>
        <w:outlineLvl w:val="3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1.2.安全管理制度落实</w:t>
      </w:r>
    </w:p>
    <w:p w14:paraId="7D54FE63">
      <w:pPr>
        <w:pStyle w:val="2"/>
        <w:ind w:left="840"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依据国家有关法律法规，制定并完善网络安全管理制度，包括人员安全管理、设备安全管理、数据安全管理等方面，加强员工的安全意识培训和教育。</w:t>
      </w:r>
    </w:p>
    <w:p w14:paraId="3A3F422A">
      <w:pPr>
        <w:pStyle w:val="2"/>
        <w:ind w:left="840"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规范系统和网络设备的日常操作流程，如系统更新、配置变更等，防止因人为操作失误导致安全漏洞。</w:t>
      </w:r>
    </w:p>
    <w:p w14:paraId="6FE152D8">
      <w:pPr>
        <w:pStyle w:val="2"/>
        <w:ind w:left="420" w:leftChars="0" w:firstLine="420" w:firstLineChars="0"/>
        <w:outlineLvl w:val="3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1.3.安全评估与漏洞扫描</w:t>
      </w:r>
    </w:p>
    <w:p w14:paraId="15F88128">
      <w:pPr>
        <w:pStyle w:val="2"/>
        <w:ind w:left="840"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定期进行网络安全评估，包括网络架构评估、应用系统安全评估、数据库安全评估等，发现潜在的安全风险。</w:t>
      </w:r>
    </w:p>
    <w:p w14:paraId="0BE10080">
      <w:pPr>
        <w:pStyle w:val="2"/>
        <w:ind w:left="840"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利用漏洞扫描工具对网络、系统和应用进行定期扫描，及时发现和修复安全漏洞。</w:t>
      </w:r>
    </w:p>
    <w:p w14:paraId="7F3A840C">
      <w:pPr>
        <w:pStyle w:val="2"/>
        <w:ind w:firstLine="977" w:firstLineChars="349"/>
        <w:outlineLvl w:val="3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1.4. 数据备份与恢复</w:t>
      </w:r>
    </w:p>
    <w:p w14:paraId="38B63DB0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为确保数据与网络安全应急处理预案的全面性和有效性，特制定详细的数据备份与恢复章节，以应对可能发生的各种数据丢失、损坏或安全事件。本章节旨在通过科学、系统的数据备份策略及高效的恢复机制，最大限度地保障数据的安全性和业务连续性。</w:t>
      </w:r>
    </w:p>
    <w:p w14:paraId="23116F8C">
      <w:pPr>
        <w:pStyle w:val="2"/>
        <w:ind w:firstLine="977" w:firstLineChars="349"/>
        <w:outlineLvl w:val="4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1.4.1 数据备份策略</w:t>
      </w:r>
    </w:p>
    <w:p w14:paraId="1A72D3E6">
      <w:pPr>
        <w:pStyle w:val="2"/>
        <w:ind w:firstLine="977" w:firstLineChars="349"/>
        <w:outlineLvl w:val="2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1.全量备份</w:t>
      </w:r>
    </w:p>
    <w:p w14:paraId="55AC728C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定义：全量备份是指对指定数据集或整个系统进行的完整复制，包含所有数据和文件。</w:t>
      </w:r>
    </w:p>
    <w:p w14:paraId="4941B9C7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实施频率：根据数据变化频率和业务重要性，设定合理的全量备份周期，如每周一次或每月一次。</w:t>
      </w:r>
    </w:p>
    <w:p w14:paraId="37D17674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存储位置：全量备份数据应存储在本地安全存储介质上，并考虑使用加密技术保护数据安全。</w:t>
      </w:r>
    </w:p>
    <w:p w14:paraId="0A70B7F0">
      <w:pPr>
        <w:pStyle w:val="2"/>
        <w:ind w:firstLine="977" w:firstLineChars="349"/>
        <w:outlineLvl w:val="2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2.增量备份</w:t>
      </w:r>
    </w:p>
    <w:p w14:paraId="7DE5DE8C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定义：增量备份仅备份自上次备份（全量或增量）以来发生变化的数据。</w:t>
      </w:r>
    </w:p>
    <w:p w14:paraId="08243B4A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实施频率：建议每日进行，以捕捉数据变化的每一个细节。</w:t>
      </w:r>
    </w:p>
    <w:p w14:paraId="31455FA3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依赖关系：增量备份依赖于全量备份，恢复时需先恢复全量备份，再依次应用增量备份。</w:t>
      </w:r>
    </w:p>
    <w:p w14:paraId="6475204A">
      <w:pPr>
        <w:pStyle w:val="2"/>
        <w:ind w:firstLine="977" w:firstLineChars="349"/>
        <w:outlineLvl w:val="2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3.冷数据备份</w:t>
      </w:r>
    </w:p>
    <w:p w14:paraId="34CB9A26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定义：冷数据备份是指对长期不活跃或归档数据进行备份，通常用于历史数据保存和合规性要求。</w:t>
      </w:r>
    </w:p>
    <w:p w14:paraId="5302F45C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实施策略：根据数据保留政策和合规要求，定期将冷数据迁移至成本效益更高的存储介质，如磁带或云存储。</w:t>
      </w:r>
    </w:p>
    <w:p w14:paraId="634E30BD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访问控制：严格限制对冷数据备份的访问，确保数据的安全性和隐私性。</w:t>
      </w:r>
    </w:p>
    <w:p w14:paraId="2971CBF4">
      <w:pPr>
        <w:pStyle w:val="2"/>
        <w:ind w:firstLine="977" w:firstLineChars="349"/>
        <w:outlineLvl w:val="2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4.异地容灾备份</w:t>
      </w:r>
    </w:p>
    <w:p w14:paraId="06108B50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目的：防止因自然灾害、人为破坏或系统故障导致的本地数据丢失。</w:t>
      </w:r>
    </w:p>
    <w:p w14:paraId="171730E3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实施方式：在地理上远离主数据中心的位置建立备份数据中心，定期将全量和增量备份数据传输至该中心。</w:t>
      </w:r>
    </w:p>
    <w:p w14:paraId="33DFDF66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同步机制：采用实时或定时同步技术，确保异地备份数据的时效性和一致性。</w:t>
      </w:r>
    </w:p>
    <w:p w14:paraId="70FFD6C4">
      <w:pPr>
        <w:pStyle w:val="2"/>
        <w:ind w:firstLine="977" w:firstLineChars="349"/>
        <w:outlineLvl w:val="3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1.4.2 备份数据测试与验证</w:t>
      </w:r>
    </w:p>
    <w:p w14:paraId="795C0764">
      <w:pPr>
        <w:pStyle w:val="2"/>
        <w:ind w:firstLine="977" w:firstLineChars="349"/>
        <w:outlineLvl w:val="2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1.定期测试</w:t>
      </w:r>
    </w:p>
    <w:p w14:paraId="49D84980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频率：至少每季度进行一次全面的备份数据恢复测试，确保备份数据的完整性和可用性。</w:t>
      </w:r>
    </w:p>
    <w:p w14:paraId="587D0E85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测试内容：包括全量备份、增量备份以及异地容灾备份的恢复测试，验证恢复过程的准确性和效率。</w:t>
      </w:r>
    </w:p>
    <w:p w14:paraId="18F2BF49">
      <w:pPr>
        <w:pStyle w:val="2"/>
        <w:ind w:firstLine="977" w:firstLineChars="349"/>
        <w:outlineLvl w:val="2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2.验证流程</w:t>
      </w:r>
    </w:p>
    <w:p w14:paraId="74FD6A3D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恢复演练：模拟真实的数据丢失场景，执行备份数据的恢复操作，记录恢复时间和遇到的问题。</w:t>
      </w:r>
    </w:p>
    <w:p w14:paraId="0C4BAD17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数据校验：恢复后，使用数据校验工具或脚本验证恢复数据的完整性和准确性。</w:t>
      </w:r>
    </w:p>
    <w:p w14:paraId="7224BA1A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报告与改进：根据测试结果，编写详细的测试报告，指出存在的问题和改进建议，持续优化备份与恢复策略。</w:t>
      </w:r>
    </w:p>
    <w:p w14:paraId="750C5007">
      <w:pPr>
        <w:pStyle w:val="2"/>
        <w:ind w:firstLine="977" w:firstLineChars="349"/>
        <w:outlineLvl w:val="2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3.自动化与监控</w:t>
      </w:r>
    </w:p>
    <w:p w14:paraId="49C44958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自动化工具：采用自动化备份和恢复工具，减少人为错误，提高备份效率和可靠性。</w:t>
      </w:r>
    </w:p>
    <w:p w14:paraId="4CC13E5C">
      <w:pPr>
        <w:pStyle w:val="2"/>
        <w:ind w:firstLine="977" w:firstLineChars="34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监控与报警：建立备份作业监控机制，实时监控备份任务的执行状态，对失败或异常任务及时报警并处理。</w:t>
      </w:r>
    </w:p>
    <w:p w14:paraId="45A4DD1A">
      <w:pPr>
        <w:pStyle w:val="2"/>
        <w:ind w:firstLine="420" w:firstLineChars="0"/>
        <w:outlineLvl w:val="2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2.预警机制</w:t>
      </w:r>
    </w:p>
    <w:p w14:paraId="2D3B8B4F">
      <w:pPr>
        <w:pStyle w:val="2"/>
        <w:ind w:left="420" w:leftChars="0" w:firstLine="420" w:firstLineChars="0"/>
        <w:outlineLvl w:val="3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2.1.监测指标设定</w:t>
      </w:r>
    </w:p>
    <w:p w14:paraId="7B3B26D6">
      <w:pPr>
        <w:pStyle w:val="2"/>
        <w:ind w:left="840"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根据公司网络和系统的特点，设定关键的安全监测指标，如网络流量异常、系统资源使用率异常、恶意软件检测等。</w:t>
      </w:r>
    </w:p>
    <w:p w14:paraId="0E605F11">
      <w:pPr>
        <w:pStyle w:val="2"/>
        <w:ind w:left="420" w:leftChars="0" w:firstLine="420" w:firstLineChars="0"/>
        <w:outlineLvl w:val="3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2.2.预警信息收集与分析</w:t>
      </w:r>
    </w:p>
    <w:p w14:paraId="2C0B6DC9">
      <w:pPr>
        <w:pStyle w:val="2"/>
        <w:ind w:left="840"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监测预警组通过安全监控工具实时收集安全信息，对监测数据进行分析和比对，当监测指标超出正常范围时，发出预警信息。</w:t>
      </w:r>
    </w:p>
    <w:p w14:paraId="01B680D2">
      <w:pPr>
        <w:pStyle w:val="2"/>
        <w:ind w:left="840"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对预警信息进行进一步分析，判断是否可能引发安全事件，评估事件的潜在影响和严重程度。</w:t>
      </w:r>
    </w:p>
    <w:p w14:paraId="74A651FC">
      <w:pPr>
        <w:pStyle w:val="2"/>
        <w:ind w:left="420" w:leftChars="0" w:firstLine="420" w:firstLineChars="0"/>
        <w:outlineLvl w:val="3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2.3.预警信息发布</w:t>
      </w:r>
    </w:p>
    <w:p w14:paraId="191EBA79">
      <w:pPr>
        <w:pStyle w:val="2"/>
        <w:ind w:left="840"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当确定存在潜在安全威胁时，及时向本单位数据安全管理分管领导和应急小组发布预警信息，启动相应的应急准备工作并进行紧急预处理，减少损失。预警信息应包括事件的类型、可能的影响范围、预计发生时间等内容。</w:t>
      </w:r>
    </w:p>
    <w:p w14:paraId="36AB9D94">
      <w:pPr>
        <w:numPr>
          <w:ilvl w:val="0"/>
          <w:numId w:val="2"/>
        </w:numPr>
        <w:spacing w:beforeLines="0" w:line="360" w:lineRule="auto"/>
        <w:ind w:left="-426" w:leftChars="0" w:firstLine="426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信息通报：建立内部和外部全天候7*24小时信息通报渠道，确保一旦检测到安全事件，能够迅速通知相关部门和人员，包括应急小组成员、IT支持团队、法律顾问等。</w:t>
      </w:r>
    </w:p>
    <w:p w14:paraId="3B7AE7C8">
      <w:pPr>
        <w:numPr>
          <w:ilvl w:val="0"/>
          <w:numId w:val="2"/>
        </w:numPr>
        <w:spacing w:beforeLines="0" w:line="360" w:lineRule="auto"/>
        <w:ind w:left="-426" w:leftChars="0" w:firstLine="426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用户反馈接收：设立专门的用户反馈渠道，鼓励用户报告任何可疑的网络活动、安全漏洞或潜在威胁。这些反馈可以来自用户直接通过网站、应用或客户服务热线提交的报告，也可以是通过社交媒体、论坛等渠道收集到的用户意见和评论。为了有效接收和处理这些反馈，组织应确保：</w:t>
      </w:r>
    </w:p>
    <w:p w14:paraId="76B8EB93">
      <w:pPr>
        <w:numPr>
          <w:ilvl w:val="0"/>
          <w:numId w:val="3"/>
        </w:numPr>
        <w:spacing w:beforeLines="0" w:line="360" w:lineRule="auto"/>
        <w:ind w:left="420" w:leftChars="0" w:hanging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反馈渠道畅通：提供多种便捷的反馈方式，包括7*24小时客户服务热线，确保用户能够轻松提交反馈。</w:t>
      </w:r>
    </w:p>
    <w:p w14:paraId="0D086169">
      <w:pPr>
        <w:numPr>
          <w:ilvl w:val="0"/>
          <w:numId w:val="3"/>
        </w:numPr>
        <w:spacing w:beforeLines="0" w:line="360" w:lineRule="auto"/>
        <w:ind w:left="420" w:leftChars="0" w:hanging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反馈处理流程明确：建立明确的反馈处理流程，包括接收、分析、处理和反馈等环节，确保用户反馈得到及时、有效的处理。</w:t>
      </w:r>
    </w:p>
    <w:p w14:paraId="05CBE3CB">
      <w:pPr>
        <w:numPr>
          <w:ilvl w:val="0"/>
          <w:numId w:val="3"/>
        </w:numPr>
        <w:spacing w:beforeLines="0" w:line="360" w:lineRule="auto"/>
        <w:ind w:left="420" w:leftChars="0" w:hanging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用户隐私保护：在处理用户反馈时，严格遵守隐私保护政策，确保用户信息的安全和保密。</w:t>
      </w:r>
    </w:p>
    <w:p w14:paraId="454C3C47">
      <w:pPr>
        <w:numPr>
          <w:ilvl w:val="0"/>
          <w:numId w:val="3"/>
        </w:numPr>
        <w:spacing w:beforeLines="0" w:line="360" w:lineRule="auto"/>
        <w:ind w:left="420" w:leftChars="0" w:hanging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激励机制：考虑设立激励机制，如奖励计划或积分系统，鼓励用户积极报告安全问题和漏洞。</w:t>
      </w:r>
    </w:p>
    <w:p w14:paraId="3DD45768">
      <w:pPr>
        <w:pStyle w:val="4"/>
        <w:bidi w:val="0"/>
        <w:jc w:val="center"/>
        <w:outlineLvl w:val="0"/>
        <w:rPr>
          <w:rFonts w:hint="eastAsia"/>
          <w:b/>
        </w:rPr>
      </w:pPr>
      <w:r>
        <w:rPr>
          <w:rFonts w:hint="eastAsia" w:ascii="楷体" w:hAnsi="楷体" w:eastAsia="楷体" w:cs="宋体"/>
          <w:b/>
          <w:bCs/>
          <w:sz w:val="44"/>
          <w:szCs w:val="44"/>
          <w:lang w:val="en-US" w:eastAsia="zh-CN"/>
        </w:rPr>
        <w:t>第三章  应急响应流程</w:t>
      </w:r>
    </w:p>
    <w:p w14:paraId="0A1C2BFD">
      <w:pPr>
        <w:numPr>
          <w:ilvl w:val="0"/>
          <w:numId w:val="4"/>
        </w:numPr>
        <w:spacing w:beforeLines="0" w:line="360" w:lineRule="auto"/>
        <w:ind w:left="-426" w:leftChars="0" w:firstLine="426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事件报告与初步评估（1小时内）</w:t>
      </w:r>
    </w:p>
    <w:p w14:paraId="5A2FDAB3">
      <w:pPr>
        <w:numPr>
          <w:numId w:val="0"/>
        </w:numPr>
        <w:spacing w:beforeLines="0" w:line="360" w:lineRule="auto"/>
        <w:ind w:leftChars="0" w:firstLine="420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任何员工一旦发现网络安全事件，应立即（不超过5分钟）按照既定程序报告给应急小组。应急小组在接到报告后，需在30分钟内对事件进行初步评估，明确事件的性质、范围和严重程度。同时，在应急处理过程中，应急处理组会迅速启动，同步开展事件调查工作，收集与事件紧密相关的各类证据，包括但不限于系统日志、网络流量记录、用户操作记录等关键信息。</w:t>
      </w:r>
    </w:p>
    <w:p w14:paraId="3F625336">
      <w:pPr>
        <w:numPr>
          <w:numId w:val="0"/>
        </w:numPr>
        <w:spacing w:beforeLines="0" w:line="360" w:lineRule="auto"/>
        <w:ind w:leftChars="0" w:firstLine="420" w:firstLineChars="0"/>
        <w:outlineLvl w:val="2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事件分级与报告机制：</w:t>
      </w:r>
    </w:p>
    <w:p w14:paraId="3A9A4A69">
      <w:pPr>
        <w:numPr>
          <w:ilvl w:val="0"/>
          <w:numId w:val="5"/>
        </w:numPr>
        <w:spacing w:beforeLines="0" w:line="360" w:lineRule="auto"/>
        <w:ind w:left="420" w:leftChars="0" w:hanging="420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低危险等级：事件影响范围小，不涉及敏感数据泄露或系统瘫痪。应急小组在1小时内完成初步评估后，可自行决定处理方案，并记录在案，无需立即上报领导小组。</w:t>
      </w:r>
    </w:p>
    <w:p w14:paraId="3241C46D">
      <w:pPr>
        <w:numPr>
          <w:ilvl w:val="0"/>
          <w:numId w:val="5"/>
        </w:numPr>
        <w:spacing w:beforeLines="0" w:line="360" w:lineRule="auto"/>
        <w:ind w:left="420" w:leftChars="0" w:hanging="420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中等危险等级：事件影响范围较大，可能导致部分业务中断或数据丢失，但不影响全局。应急小组在完成初步评估后，应立即报告给部门负责人，并在其指导下进行后续处理。</w:t>
      </w:r>
    </w:p>
    <w:p w14:paraId="578FC7E9">
      <w:pPr>
        <w:numPr>
          <w:ilvl w:val="0"/>
          <w:numId w:val="5"/>
        </w:numPr>
        <w:spacing w:beforeLines="0" w:line="360" w:lineRule="auto"/>
        <w:ind w:left="420" w:leftChars="0" w:hanging="420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高危险等级：事件严重影响业务运行，可能导致大量数据泄露或系统瘫痪。应急小组在完成初步评估后，应立即报告给部门负责人及上层领导，并启动最高级别的应急响应预案。</w:t>
      </w:r>
    </w:p>
    <w:p w14:paraId="7958FB97">
      <w:pPr>
        <w:numPr>
          <w:numId w:val="0"/>
        </w:numPr>
        <w:spacing w:beforeLines="0" w:line="360" w:lineRule="auto"/>
        <w:ind w:leftChars="0" w:firstLine="420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应急小组需在1小时内完成事件报告与初步评估的汇总工作，并对收集到的证据进行深入分析，以确定事件的起因、攻击路径以及攻击者的相关信息。为后续的网络安全改进措施提供参考，也为可能涉及的法律行动提供依据。</w:t>
      </w:r>
    </w:p>
    <w:p w14:paraId="072EB2B3">
      <w:pPr>
        <w:numPr>
          <w:ilvl w:val="0"/>
          <w:numId w:val="4"/>
        </w:numPr>
        <w:spacing w:beforeLines="0" w:line="360" w:lineRule="auto"/>
        <w:ind w:left="-426" w:leftChars="0" w:firstLine="426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应急启动（初步评估后30分钟内）</w:t>
      </w:r>
    </w:p>
    <w:p w14:paraId="091D29B8">
      <w:pPr>
        <w:numPr>
          <w:numId w:val="0"/>
        </w:numPr>
        <w:spacing w:beforeLines="0" w:line="360" w:lineRule="auto"/>
        <w:ind w:leftChars="0" w:firstLine="420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根据初步评估结果及事件等级，应急小组需在30分钟内决定是否启动应急响应预案，并立即通知所有相关人员进入应急状态，确保所有关键岗位人员迅速到位。对于低危险等级的事件，应急小组可根据情况决定是否启动全部或部分应急响应流程。</w:t>
      </w:r>
    </w:p>
    <w:p w14:paraId="3F79BE0A">
      <w:pPr>
        <w:numPr>
          <w:ilvl w:val="0"/>
          <w:numId w:val="4"/>
        </w:numPr>
        <w:spacing w:beforeLines="0" w:line="360" w:lineRule="auto"/>
        <w:ind w:left="-426" w:leftChars="0" w:firstLine="426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事件分析与控制（启动后2小时内）</w:t>
      </w:r>
    </w:p>
    <w:p w14:paraId="0F32FFE8">
      <w:pPr>
        <w:numPr>
          <w:numId w:val="0"/>
        </w:numPr>
        <w:spacing w:beforeLines="0" w:line="360" w:lineRule="auto"/>
        <w:ind w:leftChars="0" w:firstLine="420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应急响应启动后，组织专业团队在2小时内深入分析事件原因，迅速采取措施隔离受影响的系统或网络，防止事态进一步扩大，确保其他系统或网络的安全运行。对于低危险等级的事件，分析与控制措施可适当简化，但仍需确保事件得到妥善处理。</w:t>
      </w:r>
    </w:p>
    <w:p w14:paraId="26BAEE4E">
      <w:pPr>
        <w:numPr>
          <w:ilvl w:val="0"/>
          <w:numId w:val="4"/>
        </w:numPr>
        <w:spacing w:beforeLines="0" w:line="360" w:lineRule="auto"/>
        <w:ind w:left="-426" w:leftChars="0" w:firstLine="426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数据保护与恢复（分析与控制后1-4小时）</w:t>
      </w:r>
    </w:p>
    <w:p w14:paraId="76F54DB7">
      <w:pPr>
        <w:numPr>
          <w:numId w:val="0"/>
        </w:numPr>
        <w:spacing w:beforeLines="0" w:line="360" w:lineRule="auto"/>
        <w:ind w:leftChars="0" w:firstLine="420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在事件得到初步控制后，立即评估数据受损情况（1小时内）。根据评估结果，采取必要措施保护未受影响的数据（1小时内），同时制定详细的数据恢复计划并在接下来的2小时内执行，以尽快恢复受影响的数据和业务。对于低危险等级的事件，数据保护与恢复工作可适当简化，但仍需确保关键数据的安全。</w:t>
      </w:r>
    </w:p>
    <w:p w14:paraId="071CE7B5">
      <w:pPr>
        <w:numPr>
          <w:ilvl w:val="0"/>
          <w:numId w:val="4"/>
        </w:numPr>
        <w:spacing w:beforeLines="0" w:line="360" w:lineRule="auto"/>
        <w:ind w:left="-426" w:leftChars="0" w:firstLine="426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通报与沟通（数据恢复计划执行后1小时内）</w:t>
      </w:r>
    </w:p>
    <w:p w14:paraId="3AA7E6CF">
      <w:pPr>
        <w:numPr>
          <w:numId w:val="0"/>
        </w:numPr>
        <w:spacing w:beforeLines="0" w:line="360" w:lineRule="auto"/>
        <w:ind w:leftChars="0" w:firstLine="420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根据事件的性质和法律规定，在数据恢复计划执行完毕后1小时内，向受影响的用户、合作伙伴及监管部门通报事件情况，保持透明沟通，及时回应各方关切。对于低危险等级的事件，通报内容可适当简化，但仍需确保信息传达的准确性和及时性。</w:t>
      </w:r>
    </w:p>
    <w:p w14:paraId="3564F27F">
      <w:pPr>
        <w:numPr>
          <w:ilvl w:val="0"/>
          <w:numId w:val="4"/>
        </w:numPr>
        <w:spacing w:beforeLines="0" w:line="360" w:lineRule="auto"/>
        <w:ind w:left="-426" w:leftChars="0" w:firstLine="426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事件记录与总结（事件解决后24小时内）</w:t>
      </w:r>
    </w:p>
    <w:p w14:paraId="6FC959A7">
      <w:pPr>
        <w:numPr>
          <w:numId w:val="0"/>
        </w:numPr>
        <w:spacing w:beforeLines="0" w:line="360" w:lineRule="auto"/>
        <w:ind w:leftChars="0" w:firstLine="420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事件解决后，详细记录整个处理过程，包括时间线、采取的措施、结果等（12小时内）。并在接下来的12小时内组织总结会议，分析得失，总结经验教训，提出改进措施，为未来应对类似事件提供参考。对于所有等级的事件，都应进行完整的记录和总结，以确保持续改进和提升应急响应能力。</w:t>
      </w:r>
    </w:p>
    <w:p w14:paraId="39F79B73">
      <w:pPr>
        <w:pStyle w:val="4"/>
        <w:bidi w:val="0"/>
        <w:jc w:val="center"/>
        <w:outlineLvl w:val="0"/>
        <w:rPr>
          <w:rFonts w:hint="eastAsia" w:ascii="楷体" w:hAnsi="楷体" w:eastAsia="楷体" w:cs="宋体"/>
          <w:b/>
          <w:bCs/>
          <w:sz w:val="44"/>
          <w:szCs w:val="44"/>
          <w:lang w:val="en-US" w:eastAsia="zh-CN"/>
        </w:rPr>
      </w:pPr>
      <w:r>
        <w:rPr>
          <w:rFonts w:hint="eastAsia" w:ascii="楷体" w:hAnsi="楷体" w:eastAsia="楷体" w:cs="宋体"/>
          <w:b/>
          <w:bCs/>
          <w:sz w:val="44"/>
          <w:szCs w:val="44"/>
          <w:lang w:val="en-US" w:eastAsia="zh-CN"/>
        </w:rPr>
        <w:t>第四章  恢复与重建</w:t>
      </w:r>
    </w:p>
    <w:p w14:paraId="041EDCF8">
      <w:pPr>
        <w:numPr>
          <w:ilvl w:val="0"/>
          <w:numId w:val="6"/>
        </w:numPr>
        <w:spacing w:beforeLines="0" w:line="360" w:lineRule="auto"/>
        <w:ind w:left="-426" w:leftChars="0" w:firstLine="426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系统恢复（24-72小时）</w:t>
      </w:r>
    </w:p>
    <w:p w14:paraId="2F1F5519">
      <w:pPr>
        <w:numPr>
          <w:ilvl w:val="0"/>
          <w:numId w:val="0"/>
        </w:numPr>
        <w:spacing w:beforeLines="0" w:line="360" w:lineRule="auto"/>
        <w:ind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在确保安全的前提下，启动系统恢复工作。根据受影响系统的复杂性和数据恢复的需求，预计在系统应急响应结束后24至72小时内，逐步恢复受影响的系统和业务。恢复过程中需持续监控，确保系统稳定且安全。</w:t>
      </w:r>
    </w:p>
    <w:p w14:paraId="0B4FC5DC">
      <w:pPr>
        <w:numPr>
          <w:ilvl w:val="0"/>
          <w:numId w:val="6"/>
        </w:numPr>
        <w:spacing w:beforeLines="0" w:line="360" w:lineRule="auto"/>
        <w:ind w:left="-426" w:leftChars="0" w:firstLine="426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安全加固（恢复后72小时内）</w:t>
      </w:r>
    </w:p>
    <w:p w14:paraId="4F03CE4B">
      <w:pPr>
        <w:numPr>
          <w:ilvl w:val="0"/>
          <w:numId w:val="0"/>
        </w:numPr>
        <w:spacing w:beforeLines="0" w:line="360" w:lineRule="auto"/>
        <w:ind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基于事件分析的结果，在系统恢复完成后72小时内，对系统进行全面的安全加固。这包括但不限于更新系统补丁、优化安全配置、增强访问控制策略、调整防火墙规则等，以消除安全隐患，防止类似事件再次发生。</w:t>
      </w:r>
    </w:p>
    <w:p w14:paraId="19F4745C">
      <w:pPr>
        <w:numPr>
          <w:ilvl w:val="0"/>
          <w:numId w:val="6"/>
        </w:numPr>
        <w:spacing w:beforeLines="0" w:line="360" w:lineRule="auto"/>
        <w:ind w:left="-426" w:leftChars="0" w:firstLine="426" w:firstLineChars="0"/>
        <w:outlineLvl w:val="1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培训与演练（安全加固后1周内）</w:t>
      </w:r>
    </w:p>
    <w:p w14:paraId="01A85104">
      <w:pPr>
        <w:numPr>
          <w:ilvl w:val="0"/>
          <w:numId w:val="0"/>
        </w:numPr>
        <w:spacing w:beforeLines="0" w:line="360" w:lineRule="auto"/>
        <w:ind w:leftChars="0"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在安全加固工作完成后1周内，组织全体员工进行网络安全意识培训，确保每位员工了解最新的安全政策和操作流程。同时，安排至少一次应急响应演练，模拟真实的安全事件，检验团队的应急响应能力和预案的有效性，进一步提升团队的应对能力。</w:t>
      </w:r>
    </w:p>
    <w:p w14:paraId="66E5400D">
      <w:pPr>
        <w:pStyle w:val="4"/>
        <w:bidi w:val="0"/>
        <w:jc w:val="center"/>
        <w:outlineLvl w:val="0"/>
        <w:rPr>
          <w:rFonts w:hint="eastAsia" w:ascii="楷体" w:hAnsi="楷体" w:eastAsia="楷体" w:cs="宋体"/>
          <w:b/>
          <w:bCs/>
          <w:sz w:val="44"/>
          <w:szCs w:val="44"/>
          <w:lang w:val="en-US" w:eastAsia="zh-CN"/>
        </w:rPr>
      </w:pPr>
      <w:r>
        <w:rPr>
          <w:rFonts w:hint="eastAsia" w:ascii="楷体" w:hAnsi="楷体" w:eastAsia="楷体" w:cs="宋体"/>
          <w:b/>
          <w:bCs/>
          <w:sz w:val="44"/>
          <w:szCs w:val="44"/>
          <w:lang w:val="en-US" w:eastAsia="zh-CN"/>
        </w:rPr>
        <w:t>第五章  持续改进</w:t>
      </w:r>
    </w:p>
    <w:p w14:paraId="22536475">
      <w:pPr>
        <w:numPr>
          <w:ilvl w:val="0"/>
          <w:numId w:val="7"/>
        </w:numPr>
        <w:spacing w:beforeLines="0" w:line="360" w:lineRule="auto"/>
        <w:ind w:left="-426" w:leftChars="0" w:firstLine="426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评估与审计：定期对网络安全管理体系和应急响应预案的有效性进行评估和审计。</w:t>
      </w:r>
    </w:p>
    <w:p w14:paraId="76233BD2">
      <w:pPr>
        <w:numPr>
          <w:ilvl w:val="0"/>
          <w:numId w:val="7"/>
        </w:numPr>
        <w:spacing w:beforeLines="0" w:line="360" w:lineRule="auto"/>
        <w:ind w:left="-426" w:leftChars="0" w:firstLine="426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技术与策略更新：跟踪最新的网络安全威胁和技术发展，适时更新防护策略和工具。</w:t>
      </w:r>
    </w:p>
    <w:p w14:paraId="475A7E06">
      <w:pPr>
        <w:numPr>
          <w:ilvl w:val="0"/>
          <w:numId w:val="7"/>
        </w:numPr>
        <w:spacing w:beforeLines="0" w:line="360" w:lineRule="auto"/>
        <w:ind w:left="-426" w:leftChars="0" w:firstLine="426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合作与交流：加强与行业组织、安全厂商、同行企业的交流与合作，共享安全信息和最佳实践。</w:t>
      </w:r>
    </w:p>
    <w:p w14:paraId="7C2C82A9">
      <w:pPr>
        <w:ind w:firstLine="420" w:firstLineChars="0"/>
        <w:rPr>
          <w:rFonts w:hint="eastAsia"/>
        </w:rPr>
      </w:pPr>
    </w:p>
    <w:p w14:paraId="3EB89F90">
      <w:pPr>
        <w:pStyle w:val="4"/>
        <w:bidi w:val="0"/>
        <w:jc w:val="center"/>
        <w:outlineLvl w:val="0"/>
        <w:rPr>
          <w:rFonts w:hint="eastAsia" w:ascii="楷体" w:hAnsi="楷体" w:eastAsia="楷体" w:cs="宋体"/>
          <w:b/>
          <w:bCs/>
          <w:sz w:val="44"/>
          <w:szCs w:val="44"/>
          <w:lang w:val="en-US" w:eastAsia="zh-CN"/>
        </w:rPr>
      </w:pPr>
      <w:r>
        <w:rPr>
          <w:rFonts w:hint="eastAsia" w:ascii="楷体" w:hAnsi="楷体" w:eastAsia="楷体" w:cs="宋体"/>
          <w:b/>
          <w:bCs/>
          <w:sz w:val="44"/>
          <w:szCs w:val="44"/>
          <w:lang w:val="en-US" w:eastAsia="zh-CN"/>
        </w:rPr>
        <w:t>第六章  应急响应工作组名单及职责</w:t>
      </w:r>
    </w:p>
    <w:p w14:paraId="0EE7D02F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为了确保网络安全应急响应的及时性和有效性，特成立以下应急响应小组，并明确各小组的职责：</w:t>
      </w:r>
    </w:p>
    <w:p w14:paraId="7770BBE7">
      <w:pPr>
        <w:ind w:firstLine="420" w:firstLineChars="0"/>
        <w:outlineLvl w:val="1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 xml:space="preserve">1. 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领导小组</w:t>
      </w:r>
    </w:p>
    <w:p w14:paraId="5FF0359A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组长：方源 （职位：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青卫舜源主任</w:t>
      </w:r>
      <w:r>
        <w:rPr>
          <w:rFonts w:hint="eastAsia" w:ascii="楷体" w:hAnsi="楷体" w:eastAsia="楷体" w:cs="楷体"/>
          <w:sz w:val="28"/>
          <w:szCs w:val="28"/>
        </w:rPr>
        <w:t>）</w:t>
      </w:r>
    </w:p>
    <w:p w14:paraId="220F8E4F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职责：全面负责应急预案的制定、实施、监督和评估，协调各部门资源，确保应急预案的顺利执行。</w:t>
      </w:r>
    </w:p>
    <w:p w14:paraId="6193DB07">
      <w:pPr>
        <w:ind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联系电话：18999196346</w:t>
      </w:r>
    </w:p>
    <w:p w14:paraId="4B0815D6">
      <w:pPr>
        <w:pStyle w:val="2"/>
        <w:rPr>
          <w:rFonts w:hint="eastAsia"/>
          <w:lang w:val="en-US" w:eastAsia="zh-CN"/>
        </w:rPr>
      </w:pPr>
    </w:p>
    <w:p w14:paraId="71BD9E67">
      <w:pPr>
        <w:ind w:firstLine="420" w:firstLineChars="0"/>
        <w:outlineLvl w:val="2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第一</w:t>
      </w:r>
      <w:r>
        <w:rPr>
          <w:rFonts w:hint="eastAsia" w:ascii="楷体" w:hAnsi="楷体" w:eastAsia="楷体" w:cs="楷体"/>
          <w:sz w:val="28"/>
          <w:szCs w:val="28"/>
        </w:rPr>
        <w:t>副组长：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吴海龙</w:t>
      </w:r>
      <w:r>
        <w:rPr>
          <w:rFonts w:hint="eastAsia" w:ascii="楷体" w:hAnsi="楷体" w:eastAsia="楷体" w:cs="楷体"/>
          <w:sz w:val="28"/>
          <w:szCs w:val="28"/>
        </w:rPr>
        <w:t>（职位：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技术</w:t>
      </w:r>
      <w:r>
        <w:rPr>
          <w:rFonts w:hint="eastAsia" w:ascii="楷体" w:hAnsi="楷体" w:eastAsia="楷体" w:cs="楷体"/>
          <w:sz w:val="28"/>
          <w:szCs w:val="28"/>
        </w:rPr>
        <w:t>部门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主管</w:t>
      </w:r>
      <w:r>
        <w:rPr>
          <w:rFonts w:hint="eastAsia" w:ascii="楷体" w:hAnsi="楷体" w:eastAsia="楷体" w:cs="楷体"/>
          <w:sz w:val="28"/>
          <w:szCs w:val="28"/>
        </w:rPr>
        <w:t>）</w:t>
      </w:r>
    </w:p>
    <w:p w14:paraId="7081455F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职责：协助组长开展工作，负责技术层面的应急响应和处置。</w:t>
      </w:r>
    </w:p>
    <w:p w14:paraId="129F4839">
      <w:pPr>
        <w:ind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联系电话：15160980355</w:t>
      </w:r>
    </w:p>
    <w:p w14:paraId="1588CC99">
      <w:pPr>
        <w:pStyle w:val="2"/>
        <w:rPr>
          <w:rFonts w:hint="eastAsia"/>
          <w:lang w:val="en-US" w:eastAsia="zh-CN"/>
        </w:rPr>
      </w:pPr>
    </w:p>
    <w:p w14:paraId="3115C91D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第二</w:t>
      </w:r>
      <w:r>
        <w:rPr>
          <w:rFonts w:hint="eastAsia" w:ascii="楷体" w:hAnsi="楷体" w:eastAsia="楷体" w:cs="楷体"/>
          <w:sz w:val="28"/>
          <w:szCs w:val="28"/>
        </w:rPr>
        <w:t>副组长：王艳（职位：</w:t>
      </w:r>
      <w:r>
        <w:rPr>
          <w:rFonts w:hint="eastAsia" w:ascii="楷体" w:hAnsi="楷体" w:eastAsia="楷体" w:cs="楷体"/>
          <w:sz w:val="24"/>
        </w:rPr>
        <w:t>运营部主管</w:t>
      </w:r>
      <w:r>
        <w:rPr>
          <w:rFonts w:hint="eastAsia" w:ascii="楷体" w:hAnsi="楷体" w:eastAsia="楷体" w:cs="楷体"/>
          <w:sz w:val="28"/>
          <w:szCs w:val="28"/>
        </w:rPr>
        <w:t>）</w:t>
      </w:r>
    </w:p>
    <w:p w14:paraId="2C4F3099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职责：负责与外部机构（如执法部门、安全组织）的联络与沟通，以及内部员工的通知。</w:t>
      </w:r>
    </w:p>
    <w:p w14:paraId="750824FC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联系电话：18167873926</w:t>
      </w:r>
    </w:p>
    <w:p w14:paraId="6433D6E6">
      <w:pPr>
        <w:ind w:firstLine="420" w:firstLineChars="0"/>
        <w:outlineLvl w:val="1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2.技术支持小组</w:t>
      </w:r>
    </w:p>
    <w:p w14:paraId="607A09FC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网络安全管理员：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牟雷</w:t>
      </w:r>
      <w:r>
        <w:rPr>
          <w:rFonts w:hint="eastAsia" w:ascii="楷体" w:hAnsi="楷体" w:eastAsia="楷体" w:cs="楷体"/>
          <w:sz w:val="28"/>
          <w:szCs w:val="28"/>
        </w:rPr>
        <w:t>（职位：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技术</w:t>
      </w:r>
      <w:r>
        <w:rPr>
          <w:rFonts w:hint="eastAsia" w:ascii="楷体" w:hAnsi="楷体" w:eastAsia="楷体" w:cs="楷体"/>
          <w:sz w:val="28"/>
          <w:szCs w:val="28"/>
        </w:rPr>
        <w:t>部门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副主管</w:t>
      </w:r>
      <w:r>
        <w:rPr>
          <w:rFonts w:hint="eastAsia" w:ascii="楷体" w:hAnsi="楷体" w:eastAsia="楷体" w:cs="楷体"/>
          <w:sz w:val="28"/>
          <w:szCs w:val="28"/>
        </w:rPr>
        <w:t>）</w:t>
      </w:r>
    </w:p>
    <w:p w14:paraId="6C00D6EB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职责：提供技术支持，协助应急预案的编制，负责应急响应过程中的技术难题解决。</w:t>
      </w:r>
    </w:p>
    <w:p w14:paraId="7AB9F30D">
      <w:pPr>
        <w:ind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联系电话：18199991300</w:t>
      </w:r>
    </w:p>
    <w:p w14:paraId="60F97C6B">
      <w:pPr>
        <w:pStyle w:val="2"/>
        <w:rPr>
          <w:rFonts w:hint="eastAsia"/>
          <w:lang w:val="en-US" w:eastAsia="zh-CN"/>
        </w:rPr>
      </w:pPr>
    </w:p>
    <w:p w14:paraId="11BD56CE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数据</w:t>
      </w:r>
      <w:r>
        <w:rPr>
          <w:rFonts w:hint="eastAsia" w:ascii="楷体" w:hAnsi="楷体" w:eastAsia="楷体" w:cs="楷体"/>
          <w:sz w:val="28"/>
          <w:szCs w:val="28"/>
        </w:rPr>
        <w:t>安全管理员：董士杰</w:t>
      </w:r>
    </w:p>
    <w:p w14:paraId="0BB0414E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职责：提供技术支持，协助应急预案的编制，负责应急响应过程中的技术难题解决。</w:t>
      </w:r>
    </w:p>
    <w:p w14:paraId="4C171D16">
      <w:pPr>
        <w:ind w:firstLine="420" w:firstLineChars="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联系电话：</w:t>
      </w:r>
      <w:r>
        <w:rPr>
          <w:rFonts w:hint="eastAsia" w:ascii="楷体" w:hAnsi="楷体" w:eastAsia="楷体" w:cs="楷体"/>
          <w:sz w:val="28"/>
          <w:szCs w:val="28"/>
        </w:rPr>
        <w:t>18999887325</w:t>
      </w:r>
    </w:p>
    <w:p w14:paraId="70476940">
      <w:pPr>
        <w:pStyle w:val="2"/>
        <w:rPr>
          <w:rFonts w:hint="eastAsia"/>
          <w:lang w:val="en-US" w:eastAsia="zh-CN"/>
        </w:rPr>
      </w:pPr>
    </w:p>
    <w:p w14:paraId="053A8B57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成员：李仕铭17609078102</w:t>
      </w:r>
    </w:p>
    <w:p w14:paraId="7D5339D3">
      <w:pPr>
        <w:ind w:firstLine="420" w:firstLineChars="0"/>
        <w:outlineLvl w:val="1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3.运营联络小组</w:t>
      </w:r>
    </w:p>
    <w:p w14:paraId="7593066C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组长：王瑜（职位：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运营部</w:t>
      </w:r>
      <w:r>
        <w:rPr>
          <w:rFonts w:hint="eastAsia" w:ascii="楷体" w:hAnsi="楷体" w:eastAsia="楷体" w:cs="楷体"/>
          <w:sz w:val="28"/>
          <w:szCs w:val="28"/>
        </w:rPr>
        <w:t>主管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助理</w:t>
      </w:r>
      <w:r>
        <w:rPr>
          <w:rFonts w:hint="eastAsia" w:ascii="楷体" w:hAnsi="楷体" w:eastAsia="楷体" w:cs="楷体"/>
          <w:sz w:val="28"/>
          <w:szCs w:val="28"/>
        </w:rPr>
        <w:t>）</w:t>
      </w:r>
    </w:p>
    <w:p w14:paraId="74193514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职责：负责与外部机构（如执法部门、安全组织）的联络与沟通，以及内部员工的通知。</w:t>
      </w:r>
    </w:p>
    <w:p w14:paraId="2731CB54">
      <w:pPr>
        <w:ind w:left="420" w:leftChars="0"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联系电话：</w:t>
      </w:r>
      <w:r>
        <w:rPr>
          <w:rFonts w:hint="eastAsia" w:ascii="楷体" w:hAnsi="楷体" w:eastAsia="楷体" w:cs="楷体"/>
          <w:sz w:val="28"/>
          <w:szCs w:val="28"/>
        </w:rPr>
        <w:t>13201380923</w:t>
      </w:r>
    </w:p>
    <w:p w14:paraId="56304985">
      <w:pPr>
        <w:pStyle w:val="2"/>
        <w:rPr>
          <w:rFonts w:hint="eastAsia"/>
        </w:rPr>
      </w:pPr>
    </w:p>
    <w:p w14:paraId="6D439DAC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成员：</w:t>
      </w:r>
    </w:p>
    <w:p w14:paraId="00BD55D8">
      <w:pPr>
        <w:ind w:left="420" w:leftChars="0"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周晓燕17716912965</w:t>
      </w:r>
    </w:p>
    <w:p w14:paraId="539078AC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ab/>
      </w:r>
      <w:r>
        <w:rPr>
          <w:rFonts w:hint="eastAsia" w:ascii="楷体" w:hAnsi="楷体" w:eastAsia="楷体" w:cs="楷体"/>
          <w:sz w:val="28"/>
          <w:szCs w:val="28"/>
        </w:rPr>
        <w:t>鲜美艳18119196426</w:t>
      </w:r>
    </w:p>
    <w:p w14:paraId="152C85E8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ab/>
      </w:r>
      <w:r>
        <w:rPr>
          <w:rFonts w:hint="eastAsia" w:ascii="楷体" w:hAnsi="楷体" w:eastAsia="楷体" w:cs="楷体"/>
          <w:sz w:val="28"/>
          <w:szCs w:val="28"/>
        </w:rPr>
        <w:t>黄俞鑫13369618141</w:t>
      </w:r>
    </w:p>
    <w:p w14:paraId="1A9E6DB9">
      <w:pPr>
        <w:ind w:left="420" w:leftChars="0"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慕利18963812168</w:t>
      </w:r>
    </w:p>
    <w:p w14:paraId="2B8E476E">
      <w:pPr>
        <w:ind w:left="420" w:leftChars="0"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巴图那生18963803519</w:t>
      </w:r>
    </w:p>
    <w:p w14:paraId="1A2093BC">
      <w:pPr>
        <w:ind w:left="420" w:leftChars="0"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宋立卓15146811532</w:t>
      </w:r>
    </w:p>
    <w:p w14:paraId="19350571">
      <w:pPr>
        <w:ind w:firstLine="420" w:firstLineChars="0"/>
        <w:outlineLvl w:val="1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4. 综合事务小组</w:t>
      </w:r>
    </w:p>
    <w:p w14:paraId="3D912E50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组长：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姜锦涛</w:t>
      </w:r>
      <w:r>
        <w:rPr>
          <w:rFonts w:hint="eastAsia" w:ascii="楷体" w:hAnsi="楷体" w:eastAsia="楷体" w:cs="楷体"/>
          <w:sz w:val="28"/>
          <w:szCs w:val="28"/>
        </w:rPr>
        <w:t>（职位：综合事务负责人）</w:t>
      </w:r>
    </w:p>
    <w:p w14:paraId="7E8EBC14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职责：负责应急响应过程中的综合事务协调，包括信息通报、资源调配等。</w:t>
      </w:r>
    </w:p>
    <w:p w14:paraId="04220DCE">
      <w:pPr>
        <w:ind w:firstLine="42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联系电话：</w:t>
      </w:r>
      <w:r>
        <w:rPr>
          <w:rFonts w:hint="eastAsia" w:ascii="楷体" w:hAnsi="楷体" w:eastAsia="楷体" w:cs="楷体"/>
          <w:sz w:val="28"/>
          <w:szCs w:val="28"/>
        </w:rPr>
        <w:t>18167873603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A17162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769474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769474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215D0A"/>
    <w:multiLevelType w:val="multilevel"/>
    <w:tmpl w:val="82215D0A"/>
    <w:lvl w:ilvl="0" w:tentative="0">
      <w:start w:val="1"/>
      <w:numFmt w:val="chineseCountingThousand"/>
      <w:lvlText w:val="第%1条"/>
      <w:lvlJc w:val="left"/>
      <w:pPr>
        <w:ind w:left="1129" w:hanging="420"/>
      </w:pPr>
      <w:rPr>
        <w:rFonts w:hint="eastAsia" w:ascii="楷体" w:hAnsi="楷体" w:eastAsia="楷体" w:cs="楷体"/>
        <w:b/>
        <w:color w:val="000000" w:themeColor="text1"/>
        <w:sz w:val="28"/>
        <w:szCs w:val="28"/>
        <w:lang w:val="en-US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BA1B513E"/>
    <w:multiLevelType w:val="multilevel"/>
    <w:tmpl w:val="BA1B513E"/>
    <w:lvl w:ilvl="0" w:tentative="0">
      <w:start w:val="1"/>
      <w:numFmt w:val="chineseCountingThousand"/>
      <w:lvlText w:val="第%1条"/>
      <w:lvlJc w:val="left"/>
      <w:pPr>
        <w:ind w:left="1129" w:hanging="420"/>
      </w:pPr>
      <w:rPr>
        <w:rFonts w:hint="eastAsia" w:ascii="楷体" w:hAnsi="楷体" w:eastAsia="楷体" w:cs="楷体"/>
        <w:b/>
        <w:color w:val="000000" w:themeColor="text1"/>
        <w:sz w:val="28"/>
        <w:szCs w:val="28"/>
        <w:lang w:val="en-US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C9A6E9D5"/>
    <w:multiLevelType w:val="multilevel"/>
    <w:tmpl w:val="C9A6E9D5"/>
    <w:lvl w:ilvl="0" w:tentative="0">
      <w:start w:val="1"/>
      <w:numFmt w:val="chineseCountingThousand"/>
      <w:lvlText w:val="第%1条"/>
      <w:lvlJc w:val="left"/>
      <w:pPr>
        <w:ind w:left="1129" w:hanging="420"/>
      </w:pPr>
      <w:rPr>
        <w:rFonts w:hint="eastAsia" w:ascii="楷体" w:hAnsi="楷体" w:eastAsia="楷体" w:cs="楷体"/>
        <w:b/>
        <w:color w:val="000000" w:themeColor="text1"/>
        <w:sz w:val="28"/>
        <w:szCs w:val="28"/>
        <w:lang w:val="en-US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F8A953F8"/>
    <w:multiLevelType w:val="singleLevel"/>
    <w:tmpl w:val="F8A953F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048465F2"/>
    <w:multiLevelType w:val="multilevel"/>
    <w:tmpl w:val="048465F2"/>
    <w:lvl w:ilvl="0" w:tentative="0">
      <w:start w:val="1"/>
      <w:numFmt w:val="chineseCountingThousand"/>
      <w:lvlText w:val="第%1条"/>
      <w:lvlJc w:val="left"/>
      <w:pPr>
        <w:ind w:left="1129" w:hanging="420"/>
      </w:pPr>
      <w:rPr>
        <w:rFonts w:hint="eastAsia" w:ascii="楷体" w:hAnsi="楷体" w:eastAsia="楷体" w:cs="楷体"/>
        <w:b/>
        <w:color w:val="000000" w:themeColor="text1"/>
        <w:sz w:val="28"/>
        <w:szCs w:val="28"/>
        <w:lang w:val="en-US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0C5446C"/>
    <w:multiLevelType w:val="multilevel"/>
    <w:tmpl w:val="10C5446C"/>
    <w:lvl w:ilvl="0" w:tentative="0">
      <w:start w:val="1"/>
      <w:numFmt w:val="chineseCountingThousand"/>
      <w:lvlText w:val="第%1条"/>
      <w:lvlJc w:val="left"/>
      <w:pPr>
        <w:ind w:left="1129" w:hanging="420"/>
      </w:pPr>
      <w:rPr>
        <w:rFonts w:hint="eastAsia" w:ascii="楷体" w:hAnsi="楷体" w:eastAsia="楷体" w:cs="楷体"/>
        <w:b/>
        <w:color w:val="000000" w:themeColor="text1"/>
        <w:sz w:val="28"/>
        <w:szCs w:val="28"/>
        <w:lang w:val="en-US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6B0361"/>
    <w:multiLevelType w:val="singleLevel"/>
    <w:tmpl w:val="4C6B0361"/>
    <w:lvl w:ilvl="0" w:tentative="0">
      <w:start w:val="1"/>
      <w:numFmt w:val="decimal"/>
      <w:lvlText w:val="%1."/>
      <w:lvlJc w:val="left"/>
      <w:pPr>
        <w:tabs>
          <w:tab w:val="left" w:pos="-420"/>
        </w:tabs>
        <w:ind w:left="5" w:hanging="425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iYmY0MWVhZmE2OGVhODJhYmIyOGFkMGViNGE3NjAifQ=="/>
  </w:docVars>
  <w:rsids>
    <w:rsidRoot w:val="00000000"/>
    <w:rsid w:val="000B44D3"/>
    <w:rsid w:val="027C3466"/>
    <w:rsid w:val="028D521F"/>
    <w:rsid w:val="04533D1D"/>
    <w:rsid w:val="05CF7CF1"/>
    <w:rsid w:val="0625760A"/>
    <w:rsid w:val="075A189C"/>
    <w:rsid w:val="07D553ED"/>
    <w:rsid w:val="09122C41"/>
    <w:rsid w:val="0AD617D3"/>
    <w:rsid w:val="0AFC15E8"/>
    <w:rsid w:val="0B855F81"/>
    <w:rsid w:val="0B867FFD"/>
    <w:rsid w:val="0C152235"/>
    <w:rsid w:val="0C1E558E"/>
    <w:rsid w:val="0C525237"/>
    <w:rsid w:val="0C9909AF"/>
    <w:rsid w:val="10482BD9"/>
    <w:rsid w:val="105E41AB"/>
    <w:rsid w:val="11DB4CC8"/>
    <w:rsid w:val="11DC7A7D"/>
    <w:rsid w:val="13113756"/>
    <w:rsid w:val="138C20EE"/>
    <w:rsid w:val="13E5134F"/>
    <w:rsid w:val="18A24E51"/>
    <w:rsid w:val="197B1BF6"/>
    <w:rsid w:val="19DC26C4"/>
    <w:rsid w:val="1CF87735"/>
    <w:rsid w:val="1DDA7483"/>
    <w:rsid w:val="1E8C6387"/>
    <w:rsid w:val="1FEC17D3"/>
    <w:rsid w:val="204131B6"/>
    <w:rsid w:val="2132470B"/>
    <w:rsid w:val="233F7E6C"/>
    <w:rsid w:val="23B4085A"/>
    <w:rsid w:val="248A3369"/>
    <w:rsid w:val="258C3110"/>
    <w:rsid w:val="26935F50"/>
    <w:rsid w:val="26DA12B4"/>
    <w:rsid w:val="26F176CF"/>
    <w:rsid w:val="27326736"/>
    <w:rsid w:val="27475901"/>
    <w:rsid w:val="277327DA"/>
    <w:rsid w:val="282E3EE4"/>
    <w:rsid w:val="28537F15"/>
    <w:rsid w:val="286C3843"/>
    <w:rsid w:val="29062846"/>
    <w:rsid w:val="297113EB"/>
    <w:rsid w:val="2AD20343"/>
    <w:rsid w:val="2CB05936"/>
    <w:rsid w:val="2D3E1194"/>
    <w:rsid w:val="33004250"/>
    <w:rsid w:val="35C14003"/>
    <w:rsid w:val="37343AFC"/>
    <w:rsid w:val="37B75179"/>
    <w:rsid w:val="37E62B54"/>
    <w:rsid w:val="38EF77E6"/>
    <w:rsid w:val="39DA2245"/>
    <w:rsid w:val="39E44E71"/>
    <w:rsid w:val="3E2100DC"/>
    <w:rsid w:val="3F2724F0"/>
    <w:rsid w:val="3F7D5B4C"/>
    <w:rsid w:val="40B3436A"/>
    <w:rsid w:val="41241346"/>
    <w:rsid w:val="42F44377"/>
    <w:rsid w:val="45734A55"/>
    <w:rsid w:val="46765418"/>
    <w:rsid w:val="49617FA5"/>
    <w:rsid w:val="4BC32BDF"/>
    <w:rsid w:val="4BD72A88"/>
    <w:rsid w:val="4DAC380E"/>
    <w:rsid w:val="50526993"/>
    <w:rsid w:val="50E53551"/>
    <w:rsid w:val="542B3971"/>
    <w:rsid w:val="547846DC"/>
    <w:rsid w:val="55A03EEB"/>
    <w:rsid w:val="56763E26"/>
    <w:rsid w:val="57413847"/>
    <w:rsid w:val="57D32A85"/>
    <w:rsid w:val="58605BFD"/>
    <w:rsid w:val="5A1743C1"/>
    <w:rsid w:val="5A184120"/>
    <w:rsid w:val="5B7E082A"/>
    <w:rsid w:val="5C3A4183"/>
    <w:rsid w:val="5CDD3E13"/>
    <w:rsid w:val="5D883BE2"/>
    <w:rsid w:val="5DA96E15"/>
    <w:rsid w:val="5E947D24"/>
    <w:rsid w:val="5FE33352"/>
    <w:rsid w:val="606C0263"/>
    <w:rsid w:val="61F623AC"/>
    <w:rsid w:val="627C183B"/>
    <w:rsid w:val="629F6A6C"/>
    <w:rsid w:val="633908BF"/>
    <w:rsid w:val="638E5CCA"/>
    <w:rsid w:val="65392AB8"/>
    <w:rsid w:val="68375070"/>
    <w:rsid w:val="69CE0BCF"/>
    <w:rsid w:val="6A7569FE"/>
    <w:rsid w:val="6C1B39A6"/>
    <w:rsid w:val="6E5A6ED5"/>
    <w:rsid w:val="6EDC2B65"/>
    <w:rsid w:val="6EDD18B4"/>
    <w:rsid w:val="702A0B29"/>
    <w:rsid w:val="70501F38"/>
    <w:rsid w:val="70E46F2A"/>
    <w:rsid w:val="72477770"/>
    <w:rsid w:val="744A0A36"/>
    <w:rsid w:val="750C6A4F"/>
    <w:rsid w:val="76D542A8"/>
    <w:rsid w:val="78542BE7"/>
    <w:rsid w:val="79420138"/>
    <w:rsid w:val="79640E19"/>
    <w:rsid w:val="7AC202DC"/>
    <w:rsid w:val="7E215319"/>
    <w:rsid w:val="7F6A2CF0"/>
    <w:rsid w:val="7FD4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qFormat/>
    <w:uiPriority w:val="34"/>
    <w:pPr>
      <w:ind w:firstLine="420" w:firstLineChars="200"/>
    </w:p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3080</Words>
  <Characters>3276</Characters>
  <Lines>0</Lines>
  <Paragraphs>0</Paragraphs>
  <TotalTime>10</TotalTime>
  <ScaleCrop>false</ScaleCrop>
  <LinksUpToDate>false</LinksUpToDate>
  <CharactersWithSpaces>3295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2024-11-13T04:07:00Z</dcterms:created>
  <dc:creator>MU</dc:creator>
  <cp:lastModifiedBy>CU</cp:lastModifiedBy>
  <dcterms:modified xsi:type="dcterms:W3CDTF">2024-11-19T12:20:20Z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DD1DA22A3F0F4ABC804CA728B8BC6EB4_12</vt:lpwstr>
  </property>
</Properties>
</file>