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15D93">
      <w:pPr>
        <w:pStyle w:val="3"/>
        <w:bidi w:val="0"/>
        <w:jc w:val="center"/>
        <w:rPr>
          <w:rFonts w:hint="eastAsia" w:ascii="楷体" w:hAnsi="楷体" w:eastAsia="楷体" w:cs="楷体"/>
          <w:sz w:val="48"/>
          <w:szCs w:val="48"/>
          <w:lang w:val="en-US" w:eastAsia="zh-CN"/>
        </w:rPr>
      </w:pPr>
      <w:bookmarkStart w:id="0" w:name="_Toc347152341"/>
      <w:r>
        <w:rPr>
          <w:rFonts w:hint="eastAsia" w:ascii="楷体" w:hAnsi="楷体" w:eastAsia="楷体" w:cs="楷体"/>
          <w:sz w:val="48"/>
          <w:szCs w:val="48"/>
          <w:lang w:val="en-US" w:eastAsia="zh-CN"/>
        </w:rPr>
        <w:t>网络安全管理制度</w:t>
      </w:r>
    </w:p>
    <w:p w14:paraId="1A26F97D">
      <w:pPr>
        <w:numPr>
          <w:ilvl w:val="-1"/>
          <w:numId w:val="0"/>
        </w:numPr>
        <w:kinsoku w:val="0"/>
        <w:topLinePunct/>
        <w:spacing w:before="312" w:beforeLines="100" w:after="315" w:afterLines="100" w:line="360" w:lineRule="auto"/>
        <w:ind w:left="1470" w:leftChars="700" w:firstLine="1325" w:firstLineChars="300"/>
        <w:jc w:val="both"/>
        <w:textAlignment w:val="center"/>
        <w:outlineLvl w:val="0"/>
        <w:rPr>
          <w:rFonts w:hint="default" w:ascii="楷体" w:hAnsi="楷体" w:eastAsia="楷体" w:cs="宋体"/>
          <w:b/>
          <w:bCs/>
          <w:sz w:val="44"/>
          <w:szCs w:val="44"/>
          <w:lang w:val="en-US"/>
        </w:rPr>
      </w:pPr>
      <w:r>
        <w:rPr>
          <w:rFonts w:hint="eastAsia" w:ascii="楷体" w:hAnsi="楷体" w:eastAsia="楷体" w:cs="宋体"/>
          <w:b/>
          <w:bCs/>
          <w:sz w:val="44"/>
          <w:szCs w:val="44"/>
          <w:lang w:val="en-US" w:eastAsia="zh-CN"/>
        </w:rPr>
        <w:t xml:space="preserve">第一章 </w:t>
      </w:r>
      <w:bookmarkEnd w:id="0"/>
      <w:r>
        <w:rPr>
          <w:rFonts w:hint="eastAsia" w:ascii="楷体" w:hAnsi="楷体" w:eastAsia="楷体" w:cs="宋体"/>
          <w:b/>
          <w:bCs/>
          <w:sz w:val="44"/>
          <w:szCs w:val="44"/>
          <w:lang w:val="en-US" w:eastAsia="zh-CN"/>
        </w:rPr>
        <w:t>总则</w:t>
      </w:r>
    </w:p>
    <w:p w14:paraId="6C68C83F">
      <w:pPr>
        <w:numPr>
          <w:ilvl w:val="0"/>
          <w:numId w:val="1"/>
        </w:numPr>
        <w:spacing w:beforeLines="0" w:line="360" w:lineRule="auto"/>
        <w:ind w:left="-426" w:leftChars="0" w:firstLine="426" w:firstLineChars="0"/>
        <w:rPr>
          <w:rFonts w:hint="eastAsia" w:ascii="楷体" w:hAnsi="楷体" w:eastAsia="楷体" w:cs="楷体"/>
          <w:sz w:val="28"/>
          <w:szCs w:val="28"/>
        </w:rPr>
      </w:pPr>
      <w:r>
        <w:rPr>
          <w:rFonts w:hint="eastAsia" w:ascii="楷体" w:hAnsi="楷体" w:eastAsia="楷体" w:cs="楷体"/>
          <w:sz w:val="28"/>
          <w:szCs w:val="28"/>
        </w:rPr>
        <w:t>新疆</w:t>
      </w:r>
      <w:r>
        <w:rPr>
          <w:rFonts w:hint="eastAsia" w:ascii="楷体" w:hAnsi="楷体" w:eastAsia="楷体" w:cs="楷体"/>
          <w:sz w:val="28"/>
          <w:szCs w:val="28"/>
          <w:lang w:val="en-US" w:eastAsia="zh-CN"/>
        </w:rPr>
        <w:t>青卫舜源</w:t>
      </w:r>
      <w:r>
        <w:rPr>
          <w:rFonts w:hint="eastAsia" w:ascii="楷体" w:hAnsi="楷体" w:eastAsia="楷体" w:cs="楷体"/>
          <w:sz w:val="28"/>
          <w:szCs w:val="28"/>
        </w:rPr>
        <w:t>信息科技有限公司（以下简称“</w:t>
      </w:r>
      <w:r>
        <w:rPr>
          <w:rFonts w:hint="eastAsia" w:ascii="楷体" w:hAnsi="楷体" w:eastAsia="楷体" w:cs="楷体"/>
          <w:sz w:val="28"/>
          <w:szCs w:val="28"/>
          <w:lang w:val="en-US" w:eastAsia="zh-CN"/>
        </w:rPr>
        <w:t>青卫舜源</w:t>
      </w:r>
      <w:r>
        <w:rPr>
          <w:rFonts w:hint="eastAsia" w:ascii="楷体" w:hAnsi="楷体" w:eastAsia="楷体" w:cs="楷体"/>
          <w:sz w:val="28"/>
          <w:szCs w:val="28"/>
        </w:rPr>
        <w:t>”或“公司”）为</w:t>
      </w:r>
      <w:r>
        <w:rPr>
          <w:rFonts w:hint="eastAsia" w:ascii="楷体" w:hAnsi="楷体" w:eastAsia="楷体" w:cs="楷体"/>
          <w:sz w:val="28"/>
          <w:szCs w:val="28"/>
          <w:lang w:val="en-US" w:eastAsia="zh-CN"/>
        </w:rPr>
        <w:t>配合落实《新疆青卫舜源信息科技有限公司数据安全管理办法》，全面确保公司网络安全和数据安全</w:t>
      </w:r>
      <w:r>
        <w:rPr>
          <w:rFonts w:hint="eastAsia" w:ascii="楷体" w:hAnsi="楷体" w:eastAsia="楷体" w:cs="楷体"/>
          <w:sz w:val="28"/>
          <w:szCs w:val="28"/>
        </w:rPr>
        <w:t>，特制定</w:t>
      </w:r>
      <w:r>
        <w:rPr>
          <w:rFonts w:hint="eastAsia" w:ascii="楷体" w:hAnsi="楷体" w:eastAsia="楷体" w:cs="楷体"/>
          <w:sz w:val="28"/>
          <w:szCs w:val="28"/>
          <w:lang w:val="en-US" w:eastAsia="zh-CN"/>
        </w:rPr>
        <w:t>本制度</w:t>
      </w:r>
      <w:r>
        <w:rPr>
          <w:rFonts w:hint="eastAsia" w:ascii="楷体" w:hAnsi="楷体" w:eastAsia="楷体" w:cs="楷体"/>
          <w:sz w:val="28"/>
          <w:szCs w:val="28"/>
        </w:rPr>
        <w:t>。</w:t>
      </w:r>
    </w:p>
    <w:p w14:paraId="0C2F0D80">
      <w:pPr>
        <w:numPr>
          <w:ilvl w:val="0"/>
          <w:numId w:val="1"/>
        </w:numPr>
        <w:spacing w:line="360" w:lineRule="auto"/>
        <w:ind w:left="-426" w:leftChars="0" w:firstLine="426" w:firstLineChars="0"/>
        <w:rPr>
          <w:rFonts w:hint="eastAsia" w:ascii="楷体" w:hAnsi="楷体" w:eastAsia="楷体" w:cs="楷体"/>
          <w:sz w:val="28"/>
          <w:szCs w:val="28"/>
        </w:rPr>
      </w:pPr>
      <w:r>
        <w:rPr>
          <w:rFonts w:hint="eastAsia" w:ascii="楷体" w:hAnsi="楷体" w:eastAsia="楷体" w:cs="楷体"/>
          <w:sz w:val="28"/>
          <w:szCs w:val="28"/>
        </w:rPr>
        <w:t>本</w:t>
      </w:r>
      <w:r>
        <w:rPr>
          <w:rFonts w:hint="eastAsia" w:ascii="楷体" w:hAnsi="楷体" w:eastAsia="楷体" w:cs="楷体"/>
          <w:sz w:val="28"/>
          <w:szCs w:val="28"/>
          <w:lang w:val="en-US" w:eastAsia="zh-CN"/>
        </w:rPr>
        <w:t>制度适用于公司全体员工及所有已有业务系统及后续</w:t>
      </w:r>
      <w:r>
        <w:rPr>
          <w:rFonts w:hint="eastAsia" w:ascii="楷体" w:hAnsi="楷体" w:eastAsia="楷体" w:cs="楷体"/>
          <w:sz w:val="28"/>
          <w:szCs w:val="28"/>
        </w:rPr>
        <w:t>新增业务信息系统</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各类应用</w:t>
      </w:r>
      <w:r>
        <w:rPr>
          <w:rFonts w:hint="eastAsia" w:ascii="楷体" w:hAnsi="楷体" w:eastAsia="楷体" w:cs="楷体"/>
          <w:sz w:val="28"/>
          <w:szCs w:val="28"/>
        </w:rPr>
        <w:t>服务。</w:t>
      </w:r>
    </w:p>
    <w:p w14:paraId="0A2B2355">
      <w:pPr>
        <w:numPr>
          <w:ilvl w:val="0"/>
          <w:numId w:val="1"/>
        </w:numPr>
        <w:spacing w:line="360" w:lineRule="auto"/>
        <w:ind w:left="-426" w:leftChars="0" w:firstLine="426" w:firstLineChars="0"/>
        <w:rPr>
          <w:rFonts w:hint="eastAsia" w:ascii="楷体" w:hAnsi="楷体" w:eastAsia="楷体" w:cs="楷体"/>
          <w:sz w:val="28"/>
          <w:szCs w:val="28"/>
          <w:lang w:val="en-US" w:eastAsia="zh-CN"/>
        </w:rPr>
      </w:pPr>
      <w:r>
        <w:rPr>
          <w:rFonts w:hint="eastAsia" w:ascii="楷体" w:hAnsi="楷体" w:eastAsia="楷体" w:cs="楷体"/>
          <w:sz w:val="28"/>
          <w:szCs w:val="28"/>
        </w:rPr>
        <w:t>本管理办法遵循《中华人民共和国网络安全法》、《中华人民共和国数据安全法》、《中华人民共和国个人信息保护法》</w:t>
      </w:r>
      <w:r>
        <w:rPr>
          <w:rFonts w:hint="eastAsia" w:ascii="楷体" w:hAnsi="楷体" w:eastAsia="楷体" w:cs="楷体"/>
          <w:sz w:val="28"/>
          <w:szCs w:val="28"/>
          <w:lang w:eastAsia="zh-CN"/>
        </w:rPr>
        <w:t>、</w:t>
      </w:r>
      <w:r>
        <w:rPr>
          <w:rFonts w:hint="eastAsia" w:ascii="楷体" w:hAnsi="楷体" w:eastAsia="楷体" w:cs="楷体"/>
          <w:sz w:val="28"/>
          <w:szCs w:val="28"/>
        </w:rPr>
        <w:t>《中华人民共和国保密法》</w:t>
      </w:r>
      <w:r>
        <w:rPr>
          <w:rFonts w:hint="eastAsia" w:ascii="楷体" w:hAnsi="楷体" w:eastAsia="楷体" w:cs="楷体"/>
          <w:sz w:val="28"/>
          <w:szCs w:val="28"/>
          <w:lang w:val="en-US" w:eastAsia="zh-CN"/>
        </w:rPr>
        <w:t>等有关保密信息与数据安全法律法规</w:t>
      </w:r>
      <w:r>
        <w:rPr>
          <w:rFonts w:hint="eastAsia" w:ascii="楷体" w:hAnsi="楷体" w:eastAsia="楷体" w:cs="楷体"/>
          <w:sz w:val="28"/>
          <w:szCs w:val="28"/>
        </w:rPr>
        <w:t>。</w:t>
      </w:r>
    </w:p>
    <w:p w14:paraId="54A2DB88">
      <w:pPr>
        <w:numPr>
          <w:ilvl w:val="-1"/>
          <w:numId w:val="0"/>
        </w:numPr>
        <w:spacing w:before="200" w:after="200" w:line="360" w:lineRule="auto"/>
        <w:ind w:left="0" w:firstLine="1767" w:firstLineChars="400"/>
        <w:jc w:val="both"/>
        <w:outlineLvl w:val="0"/>
        <w:rPr>
          <w:rFonts w:hint="eastAsia" w:ascii="楷体" w:hAnsi="楷体" w:eastAsia="楷体" w:cs="宋体"/>
          <w:b/>
          <w:bCs/>
          <w:sz w:val="44"/>
          <w:szCs w:val="44"/>
        </w:rPr>
      </w:pPr>
      <w:r>
        <w:rPr>
          <w:rFonts w:hint="eastAsia" w:ascii="楷体" w:hAnsi="楷体" w:eastAsia="楷体" w:cs="宋体"/>
          <w:b/>
          <w:bCs/>
          <w:sz w:val="44"/>
          <w:szCs w:val="44"/>
          <w:lang w:val="en-US" w:eastAsia="zh-CN"/>
        </w:rPr>
        <w:t>第二章 网络</w:t>
      </w:r>
      <w:r>
        <w:rPr>
          <w:rFonts w:hint="default" w:ascii="楷体" w:hAnsi="楷体" w:eastAsia="楷体" w:cs="宋体"/>
          <w:b/>
          <w:bCs/>
          <w:sz w:val="44"/>
          <w:szCs w:val="44"/>
          <w:lang w:val="en-US" w:eastAsia="zh-CN"/>
        </w:rPr>
        <w:t>安全</w:t>
      </w:r>
      <w:r>
        <w:rPr>
          <w:rFonts w:hint="eastAsia" w:ascii="楷体" w:hAnsi="楷体" w:eastAsia="楷体" w:cs="宋体"/>
          <w:b/>
          <w:bCs/>
          <w:sz w:val="44"/>
          <w:szCs w:val="44"/>
        </w:rPr>
        <w:t>管理原则</w:t>
      </w:r>
    </w:p>
    <w:p w14:paraId="68016041">
      <w:pPr>
        <w:numPr>
          <w:ilvl w:val="0"/>
          <w:numId w:val="2"/>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设立</w:t>
      </w:r>
      <w:r>
        <w:rPr>
          <w:rFonts w:hint="eastAsia" w:ascii="楷体" w:hAnsi="楷体" w:eastAsia="楷体" w:cs="楷体"/>
          <w:sz w:val="28"/>
          <w:szCs w:val="28"/>
          <w:lang w:val="en-US" w:eastAsia="zh-CN"/>
        </w:rPr>
        <w:t>网络</w:t>
      </w:r>
      <w:r>
        <w:rPr>
          <w:rFonts w:hint="default" w:ascii="楷体" w:hAnsi="楷体" w:eastAsia="楷体" w:cs="楷体"/>
          <w:sz w:val="28"/>
          <w:szCs w:val="28"/>
          <w:lang w:val="en-US" w:eastAsia="zh-CN"/>
        </w:rPr>
        <w:t xml:space="preserve">安全管理岗位  </w:t>
      </w:r>
    </w:p>
    <w:p w14:paraId="52AB46BD">
      <w:pPr>
        <w:numPr>
          <w:ilvl w:val="0"/>
          <w:numId w:val="0"/>
        </w:numPr>
        <w:spacing w:line="360" w:lineRule="auto"/>
        <w:ind w:leftChars="0" w:firstLine="420" w:firstLineChars="0"/>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公司将根据实际网络安全需求，设立网络安全管理员岗位，并提供相应的岗位补助。网络安全管理员负责制定和执行公司</w:t>
      </w:r>
      <w:r>
        <w:rPr>
          <w:rFonts w:hint="eastAsia" w:ascii="楷体" w:hAnsi="楷体" w:eastAsia="楷体" w:cs="楷体"/>
          <w:sz w:val="28"/>
          <w:szCs w:val="28"/>
          <w:lang w:val="en-US" w:eastAsia="zh-CN"/>
        </w:rPr>
        <w:t>办公、生产及测试环境等所有领域的</w:t>
      </w:r>
      <w:r>
        <w:rPr>
          <w:rFonts w:hint="default" w:ascii="楷体" w:hAnsi="楷体" w:eastAsia="楷体" w:cs="楷体"/>
          <w:sz w:val="28"/>
          <w:szCs w:val="28"/>
          <w:lang w:val="en-US" w:eastAsia="zh-CN"/>
        </w:rPr>
        <w:t>网络安全策略，监控网络活动，确保能够迅速发现并有效应对各类潜在的网络安全威胁，从而维护公司整体网络环境的稳定与安全。</w:t>
      </w:r>
    </w:p>
    <w:p w14:paraId="47B4BD47">
      <w:pPr>
        <w:numPr>
          <w:ilvl w:val="0"/>
          <w:numId w:val="2"/>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网络安全责任归属</w:t>
      </w:r>
    </w:p>
    <w:p w14:paraId="1937F8E1">
      <w:pPr>
        <w:numPr>
          <w:ilvl w:val="0"/>
          <w:numId w:val="0"/>
        </w:numPr>
        <w:spacing w:line="360" w:lineRule="auto"/>
        <w:ind w:leftChars="0" w:firstLine="420" w:firstLineChars="0"/>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公司遵循“谁使用，谁负责；谁管理，谁负责”的原则。所有网络使用者（包括员工、承包商、访客等）均需对其在公司网络上的行为负责，并严格遵守国家法律法规及公司网络安全规定。各部门负责人需确保其管辖范围内的网络安全，防止网络攻击、病毒传播等安全事件的发生。</w:t>
      </w:r>
    </w:p>
    <w:p w14:paraId="78544767">
      <w:pPr>
        <w:numPr>
          <w:ilvl w:val="0"/>
          <w:numId w:val="2"/>
        </w:numPr>
        <w:spacing w:line="360" w:lineRule="auto"/>
        <w:ind w:left="-426" w:leftChars="0" w:firstLine="426" w:firstLineChars="0"/>
        <w:outlineLvl w:val="1"/>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网络安全操作规范</w:t>
      </w:r>
    </w:p>
    <w:p w14:paraId="7D6A3C53">
      <w:pPr>
        <w:numPr>
          <w:ilvl w:val="-4"/>
          <w:numId w:val="0"/>
        </w:numPr>
        <w:spacing w:line="360" w:lineRule="auto"/>
        <w:ind w:leftChars="0"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1.网络设备使用与管理</w:t>
      </w:r>
    </w:p>
    <w:p w14:paraId="4BAC2B41">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1.1.所有网络设备（如电脑、服务器、路由器等）均需经过公司授权并符合公司网络安全标准方可接入网络。</w:t>
      </w:r>
    </w:p>
    <w:p w14:paraId="1148F8BD">
      <w:pPr>
        <w:pStyle w:val="2"/>
        <w:ind w:left="420" w:leftChars="0" w:firstLine="420" w:firstLineChars="0"/>
        <w:outlineLvl w:val="3"/>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1.2.禁止私自更改网络设备配置或安装未经授权的软件。</w:t>
      </w:r>
    </w:p>
    <w:p w14:paraId="5D8E0C5B">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1.3.定期对网络设备进行安全检查和更新，确保其运行在安全状态。</w:t>
      </w:r>
    </w:p>
    <w:p w14:paraId="5C947F26">
      <w:pPr>
        <w:pStyle w:val="2"/>
        <w:ind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2.网络访问控制</w:t>
      </w:r>
    </w:p>
    <w:p w14:paraId="042D0A77">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2.1.实行严格的网络访问控制策略，确保只有授权用户才能访问公司网络资源。</w:t>
      </w:r>
    </w:p>
    <w:p w14:paraId="5AE6EE59">
      <w:pPr>
        <w:pStyle w:val="2"/>
        <w:ind w:left="420" w:leftChars="0" w:firstLine="420" w:firstLineChars="0"/>
        <w:outlineLvl w:val="3"/>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2.2.使用强密码策略，并定期更换密码。</w:t>
      </w:r>
    </w:p>
    <w:p w14:paraId="16D7EE84">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2.3.禁止在公司网络上进行与工作无关的活动，如访问非法网站、下载不明文件等。</w:t>
      </w:r>
    </w:p>
    <w:p w14:paraId="26C54F68">
      <w:pPr>
        <w:pStyle w:val="2"/>
        <w:ind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3.网络安全监测与应急响应</w:t>
      </w:r>
    </w:p>
    <w:p w14:paraId="3209EAE3">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3.1.建立网络安全监测系统，实时监控网络流量和异常行为。</w:t>
      </w:r>
    </w:p>
    <w:p w14:paraId="3126FB60">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3.2.制定网络安全应急预案，明确应急响应流程和责任人。</w:t>
      </w:r>
    </w:p>
    <w:p w14:paraId="3B44ED4D">
      <w:pPr>
        <w:pStyle w:val="2"/>
        <w:ind w:left="42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3.3.在发生网络安全事件时，立即启动应急预案，并采取有效措施进行处置。</w:t>
      </w:r>
    </w:p>
    <w:p w14:paraId="0C73DDCB">
      <w:pPr>
        <w:numPr>
          <w:ilvl w:val="0"/>
          <w:numId w:val="2"/>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定期审查与培训</w:t>
      </w:r>
    </w:p>
    <w:p w14:paraId="500C84C8">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1.定期对网络系统进行安全审查，确保网络安全措施的有效性和合规性。</w:t>
      </w:r>
    </w:p>
    <w:p w14:paraId="436F5144">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2.定期对员工进行网络安全培训，提高员工的安全意识和技能水平。</w:t>
      </w:r>
    </w:p>
    <w:p w14:paraId="70308863">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3.根据网络安全技术的发展和公司的实际需求，不断更新和完善网络安全策略。</w:t>
      </w:r>
    </w:p>
    <w:p w14:paraId="1F5272B4">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eastAsia"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计算机设备安全管理</w:t>
      </w:r>
    </w:p>
    <w:p w14:paraId="72197279">
      <w:pPr>
        <w:pStyle w:val="2"/>
        <w:rPr>
          <w:rFonts w:hint="eastAsia"/>
          <w:lang w:val="en-US" w:eastAsia="zh-CN"/>
        </w:rPr>
      </w:pPr>
    </w:p>
    <w:p w14:paraId="6D72C218">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设备使用细则</w:t>
      </w:r>
    </w:p>
    <w:p w14:paraId="4A9572E1">
      <w:pPr>
        <w:pStyle w:val="2"/>
        <w:numPr>
          <w:ilvl w:val="0"/>
          <w:numId w:val="5"/>
        </w:numPr>
        <w:ind w:left="845" w:leftChars="0" w:hanging="425"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员工须统一使用公司提供的计算机设备开展工作。</w:t>
      </w:r>
    </w:p>
    <w:p w14:paraId="19C1BDCA">
      <w:pPr>
        <w:pStyle w:val="2"/>
        <w:numPr>
          <w:ilvl w:val="0"/>
          <w:numId w:val="5"/>
        </w:numPr>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在特殊情况下，如因工作需要且个人设备具备特殊功能或兼容性要求，员工需事先向总经理提交书面申请，并获得明确批准后，方可使用自己的计算机设备。</w:t>
      </w:r>
    </w:p>
    <w:p w14:paraId="72BD5202">
      <w:pPr>
        <w:pStyle w:val="2"/>
        <w:numPr>
          <w:ilvl w:val="0"/>
          <w:numId w:val="5"/>
        </w:numPr>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员工对所使用的计算机及相关设备的安全负责，如暂时离开座位时须锁定系统，确保信息安全。</w:t>
      </w:r>
    </w:p>
    <w:p w14:paraId="0CC0C828">
      <w:pPr>
        <w:pStyle w:val="2"/>
        <w:numPr>
          <w:ilvl w:val="0"/>
          <w:numId w:val="5"/>
        </w:numPr>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移动介质（如U盘、移动硬盘等）应自行安全保管，避免遗失或被盗。</w:t>
      </w:r>
    </w:p>
    <w:p w14:paraId="538357B3">
      <w:pPr>
        <w:numPr>
          <w:ilvl w:val="0"/>
          <w:numId w:val="4"/>
        </w:numPr>
        <w:spacing w:line="360" w:lineRule="auto"/>
        <w:ind w:left="-426" w:leftChars="0" w:firstLine="426" w:firstLineChars="0"/>
        <w:outlineLvl w:val="1"/>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设备调换与拆卸细则</w:t>
      </w:r>
    </w:p>
    <w:p w14:paraId="66B743C5">
      <w:pPr>
        <w:pStyle w:val="2"/>
        <w:numPr>
          <w:ilvl w:val="0"/>
          <w:numId w:val="6"/>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未经公司信息技术部门或总经理的书面许可，员工不得私自调换、拆卸或修改公司提供的计算机设备及其配件。</w:t>
      </w:r>
    </w:p>
    <w:p w14:paraId="39126B04">
      <w:pPr>
        <w:pStyle w:val="2"/>
        <w:numPr>
          <w:ilvl w:val="0"/>
          <w:numId w:val="6"/>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任何违反此规定的行为，公司将视情节轻重给予相应的纪律处分。</w:t>
      </w:r>
    </w:p>
    <w:p w14:paraId="064415B0">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设备维护细则</w:t>
      </w:r>
    </w:p>
    <w:p w14:paraId="35B17F43">
      <w:pPr>
        <w:pStyle w:val="2"/>
        <w:numPr>
          <w:ilvl w:val="0"/>
          <w:numId w:val="7"/>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员工有责任保持其使用的计算机设备及其工作环境的清洁与安全。</w:t>
      </w:r>
    </w:p>
    <w:p w14:paraId="3B49BE58">
      <w:pPr>
        <w:pStyle w:val="2"/>
        <w:numPr>
          <w:ilvl w:val="0"/>
          <w:numId w:val="7"/>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这包括但不限于定期清理设备表面及内部灰尘、避免在设备附近放置易燃易爆物品、保持适宜的温湿度条件等。</w:t>
      </w:r>
    </w:p>
    <w:p w14:paraId="06ECD2FE">
      <w:pPr>
        <w:pStyle w:val="2"/>
        <w:numPr>
          <w:ilvl w:val="0"/>
          <w:numId w:val="7"/>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员工应合理使用设备，避免过度使用或不当操作导致的设备损坏。</w:t>
      </w:r>
    </w:p>
    <w:p w14:paraId="2E03139F">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工作环境细则</w:t>
      </w:r>
    </w:p>
    <w:p w14:paraId="7142ABE0">
      <w:pPr>
        <w:pStyle w:val="2"/>
        <w:numPr>
          <w:ilvl w:val="0"/>
          <w:numId w:val="8"/>
        </w:numPr>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为确保计算机设备的稳定运行，员工应维护一个良好的计算机设备工作环境。</w:t>
      </w:r>
    </w:p>
    <w:p w14:paraId="089175C2">
      <w:pPr>
        <w:pStyle w:val="2"/>
        <w:numPr>
          <w:ilvl w:val="0"/>
          <w:numId w:val="8"/>
        </w:numPr>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这包括但不限于保持工作区域的整洁、避免在设备周围堆放杂物、确保设备有足够的通风空间等。</w:t>
      </w:r>
    </w:p>
    <w:p w14:paraId="4FD8F7B1">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信息安全与设备使用权限细则</w:t>
      </w:r>
    </w:p>
    <w:p w14:paraId="1C02D469">
      <w:pPr>
        <w:pStyle w:val="2"/>
        <w:numPr>
          <w:ilvl w:val="0"/>
          <w:numId w:val="9"/>
        </w:numPr>
        <w:tabs>
          <w:tab w:val="left" w:pos="840"/>
          <w:tab w:val="clear" w:pos="126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未经许可，员工不得私自使用他人计算机或相关设备，以维护信息安全和个人隐私。</w:t>
      </w:r>
    </w:p>
    <w:p w14:paraId="0A7EDEE8">
      <w:pPr>
        <w:pStyle w:val="2"/>
        <w:numPr>
          <w:ilvl w:val="0"/>
          <w:numId w:val="9"/>
        </w:numPr>
        <w:tabs>
          <w:tab w:val="left" w:pos="840"/>
          <w:tab w:val="clear" w:pos="1260"/>
        </w:tabs>
        <w:ind w:left="845" w:leftChars="0" w:hanging="425"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员工应妥善保管自己的登录密码和账户信息，不得泄露给他人。</w:t>
      </w:r>
    </w:p>
    <w:p w14:paraId="08B592B7">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违规处理细则</w:t>
      </w:r>
    </w:p>
    <w:p w14:paraId="11734C96">
      <w:pPr>
        <w:pStyle w:val="2"/>
        <w:numPr>
          <w:ilvl w:val="0"/>
          <w:numId w:val="10"/>
        </w:numPr>
        <w:tabs>
          <w:tab w:val="left" w:pos="840"/>
          <w:tab w:val="clear" w:pos="420"/>
        </w:tabs>
        <w:ind w:left="845" w:leftChars="0" w:hanging="425"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对于违反本规定的员工，公司将依据相关规定进行严肃处理。</w:t>
      </w:r>
    </w:p>
    <w:p w14:paraId="6069F527">
      <w:pPr>
        <w:pStyle w:val="2"/>
        <w:numPr>
          <w:ilvl w:val="0"/>
          <w:numId w:val="10"/>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情节严重者，公司有权收回其使用的计算机设备，并视情况给予相应的行政处罚或解除劳动合同。</w:t>
      </w:r>
    </w:p>
    <w:p w14:paraId="72B966DD">
      <w:pPr>
        <w:numPr>
          <w:ilvl w:val="0"/>
          <w:numId w:val="4"/>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监督与检查细则</w:t>
      </w:r>
    </w:p>
    <w:p w14:paraId="7C9C8E9D">
      <w:pPr>
        <w:pStyle w:val="2"/>
        <w:numPr>
          <w:ilvl w:val="0"/>
          <w:numId w:val="11"/>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公司信息技术部门及各部门负责人有权定期对员工的计算机设备使用情况进行监督与检查。</w:t>
      </w:r>
    </w:p>
    <w:p w14:paraId="2A27B0F0">
      <w:pPr>
        <w:pStyle w:val="2"/>
        <w:numPr>
          <w:ilvl w:val="0"/>
          <w:numId w:val="11"/>
        </w:numPr>
        <w:tabs>
          <w:tab w:val="left" w:pos="840"/>
          <w:tab w:val="clear" w:pos="420"/>
        </w:tabs>
        <w:ind w:left="845" w:leftChars="0" w:hanging="425"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员工应积极配合，如实提供相关信息，确保公司资产的安全和合规使用。</w:t>
      </w:r>
    </w:p>
    <w:p w14:paraId="28E295F5">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default"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电子资料文件安全管理</w:t>
      </w:r>
    </w:p>
    <w:p w14:paraId="10C2A524">
      <w:pPr>
        <w:pStyle w:val="2"/>
        <w:rPr>
          <w:rFonts w:hint="default"/>
          <w:lang w:val="en-US" w:eastAsia="zh-CN"/>
        </w:rPr>
      </w:pPr>
    </w:p>
    <w:p w14:paraId="3E347E7F">
      <w:pPr>
        <w:numPr>
          <w:ilvl w:val="0"/>
          <w:numId w:val="12"/>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文件资料管理与备份要求</w:t>
      </w:r>
    </w:p>
    <w:p w14:paraId="14557F1E">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1.重要的文件和工作资料严禁保存在C盘（包括桌面），以防止系统崩溃或病毒攻击导致的数据丢失。</w:t>
      </w:r>
    </w:p>
    <w:p w14:paraId="35349BB1">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2.员工应定期备份重要文件，确保数据的冗余存储，以防数据丢失。</w:t>
      </w:r>
    </w:p>
    <w:p w14:paraId="796BABE8">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3.禁止进行与工作无关的下载、游戏等行为，以减少潜在的安全威胁。</w:t>
      </w:r>
    </w:p>
    <w:p w14:paraId="154935E5">
      <w:pPr>
        <w:pStyle w:val="2"/>
        <w:numPr>
          <w:ilvl w:val="0"/>
          <w:numId w:val="0"/>
        </w:numPr>
        <w:ind w:left="420" w:leftChars="0" w:firstLine="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4.员工应定期查杀病毒和清理垃圾文件，保持系统的清洁与安全。</w:t>
      </w:r>
    </w:p>
    <w:p w14:paraId="29096B5F">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5.若因个人原因（如疏忽大意、不当操作等）导致数据资料泄密或丢失，员工将承担相关后果。</w:t>
      </w:r>
    </w:p>
    <w:p w14:paraId="053A195B">
      <w:pPr>
        <w:numPr>
          <w:ilvl w:val="0"/>
          <w:numId w:val="12"/>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机密信息文件的加密与保管</w:t>
      </w:r>
    </w:p>
    <w:p w14:paraId="7CC5C365">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1.涉及公司机密或重要的文档信息文件，所有员工需进行加密处理，确保信息的保密性。</w:t>
      </w:r>
    </w:p>
    <w:p w14:paraId="3E855C31">
      <w:pPr>
        <w:pStyle w:val="2"/>
        <w:numPr>
          <w:ilvl w:val="0"/>
          <w:numId w:val="0"/>
        </w:numPr>
        <w:ind w:left="420" w:leftChars="0" w:firstLine="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2.员工应妥善保管加密密钥，不得泄露给他人。</w:t>
      </w:r>
    </w:p>
    <w:p w14:paraId="032A2521">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3.若因保管不善（如遗失、被盗等）导致公司信息资料的外泄或其他损失，员工将承担一切责任。</w:t>
      </w:r>
    </w:p>
    <w:p w14:paraId="0139E07D">
      <w:pPr>
        <w:numPr>
          <w:ilvl w:val="0"/>
          <w:numId w:val="12"/>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文件资料的外部存储与离职管理</w:t>
      </w:r>
    </w:p>
    <w:p w14:paraId="10E7CC62">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1.严禁任何员工以个人介质（如光盘、U盘、移动硬盘等）将公司的文件资料带离公司。</w:t>
      </w:r>
    </w:p>
    <w:p w14:paraId="7E34DAD7">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2.若因出差等合理原因需要拷贝文件资料到存储设备中，员工需向上级请示并获得批准，且只能使用公司提供的存储设备。</w:t>
      </w:r>
    </w:p>
    <w:p w14:paraId="7D7B53BF">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3.员工离职时，需办理移交手续，所在部门负责人需将其工作资料拷贝至部门硬盘保存，以确保资料的连续性。</w:t>
      </w:r>
    </w:p>
    <w:p w14:paraId="169BB2A4">
      <w:pPr>
        <w:pStyle w:val="2"/>
        <w:numPr>
          <w:ilvl w:val="0"/>
          <w:numId w:val="0"/>
        </w:numPr>
        <w:ind w:left="42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4.若部门负责人未执行上述操作流程，导致离职员工损失的任何资料，将由该部门主管承担责任。</w:t>
      </w:r>
    </w:p>
    <w:p w14:paraId="57322205">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default"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软件安全管理</w:t>
      </w:r>
    </w:p>
    <w:p w14:paraId="7BEA3050">
      <w:pPr>
        <w:numPr>
          <w:ilvl w:val="0"/>
          <w:numId w:val="13"/>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软、硬件设备原始资料的保管规定</w:t>
      </w:r>
    </w:p>
    <w:p w14:paraId="5B6D4C90">
      <w:pPr>
        <w:pStyle w:val="2"/>
        <w:numPr>
          <w:ilvl w:val="-2"/>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公司所有软、硬件设备的原始资料，包括但不限于光盘、说明书、保修卡、许可证协议及合同正本等，均应交由综合部进行统一保管。为确保资料的安全性和完整性，综合部应采取有效的保管措施，包括但不限于防水、防磁、防火及防盗等，以防止资料因各种原因而受损或丢失。</w:t>
      </w:r>
    </w:p>
    <w:p w14:paraId="70F5A62E">
      <w:pPr>
        <w:numPr>
          <w:ilvl w:val="0"/>
          <w:numId w:val="13"/>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服务器与PC机的病毒防护措施</w:t>
      </w:r>
    </w:p>
    <w:p w14:paraId="5CCD858F">
      <w:pPr>
        <w:pStyle w:val="2"/>
        <w:numPr>
          <w:ilvl w:val="-2"/>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公司所有服务器和PC机均应安装杀毒软件，并定期更新病毒库以应对新出现的病毒威胁。同时，公司严禁任何人安装可能危害公司计算机及网络的软件，以确保公司信息系统的稳定运行和数据安全。</w:t>
      </w:r>
    </w:p>
    <w:p w14:paraId="44C388BB">
      <w:pPr>
        <w:numPr>
          <w:ilvl w:val="0"/>
          <w:numId w:val="13"/>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信息安全禁止行为</w:t>
      </w:r>
    </w:p>
    <w:p w14:paraId="59865B93">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为维护公司信息安全，以下行为被严格禁止：</w:t>
      </w:r>
    </w:p>
    <w:p w14:paraId="49A31D2B">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1.制作、传播、复制有害信息：禁止利用公司信息系统平台制作、传播或复制任何与公司及员工有关的负面信息或不良内容。</w:t>
      </w:r>
    </w:p>
    <w:p w14:paraId="2911F9A4">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2.攻击、入侵他人计算机：未经允许，不得攻击、入侵他人的计算机设备或信息系统，也不得擅自使用他人的计算机设备或信息系统。</w:t>
      </w:r>
    </w:p>
    <w:p w14:paraId="2CC1D891">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3.未经授权查阅、盗用邮件：禁止未经授权查阅他人的电子邮件，也不得以盗用他人名义发送任何电子邮件。</w:t>
      </w:r>
    </w:p>
    <w:p w14:paraId="006B0F84">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4.泄露公司信息：未经公司高管领导批准，不得通过网络、移动存储设备等任何方式向外传输、发布或泄露公司的任何信息。</w:t>
      </w:r>
    </w:p>
    <w:p w14:paraId="73E90254">
      <w:pPr>
        <w:pStyle w:val="2"/>
        <w:numPr>
          <w:ilvl w:val="-4"/>
          <w:numId w:val="0"/>
        </w:numPr>
        <w:ind w:left="0" w:leftChars="0"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5.其他危害信息安全行为：禁止从事任何可能危害公司信息安全或违反国家相关法律法规、信息安全条例的其他行为。</w:t>
      </w:r>
    </w:p>
    <w:p w14:paraId="561B09CF">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default"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网安事件事故定义</w:t>
      </w:r>
    </w:p>
    <w:p w14:paraId="607FD73D">
      <w:pPr>
        <w:numPr>
          <w:ilvl w:val="0"/>
          <w:numId w:val="14"/>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网络信息安全事件定义</w:t>
      </w:r>
    </w:p>
    <w:p w14:paraId="0B9F33B4">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网络信息安全事件指的是对计算机系统、网络、数据或应用软件程序构成潜在风险的安全相关事件，这些事件虽未造成实际损害，但已显露出安全漏洞或弱点。此类事件包括但不限于信息安全部门组织的网络攻防演练、日常漏洞扫描所发现的漏洞报告，它们仅揭示系统可能存在的泄露风险，尚未引发恶意泄露等严重后果。</w:t>
      </w:r>
    </w:p>
    <w:p w14:paraId="7D976202">
      <w:pPr>
        <w:numPr>
          <w:ilvl w:val="0"/>
          <w:numId w:val="14"/>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网络信息安全事故定义</w:t>
      </w:r>
    </w:p>
    <w:p w14:paraId="3D3ECC46">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网络信息安全事故则是指已发生并造成了一定损害或影响的网络安全事件，这些损害或影响具有不可逆转性。损害可能包括数据泄露、系统瘫痪、个人隐私外泄等。例如，系统未设置下载限制，导致大量未脱敏数据被批量下载，或普通用</w:t>
      </w:r>
      <w:bookmarkStart w:id="1" w:name="_GoBack"/>
      <w:bookmarkEnd w:id="1"/>
      <w:r>
        <w:rPr>
          <w:rFonts w:hint="default" w:ascii="楷体" w:hAnsi="楷体" w:eastAsia="楷体" w:cs="楷体"/>
          <w:kern w:val="2"/>
          <w:sz w:val="28"/>
          <w:szCs w:val="28"/>
          <w:lang w:val="en-US" w:eastAsia="zh-CN" w:bidi="ar-SA"/>
        </w:rPr>
        <w:t>户越权使用管理权限进行操作，并进行了不可逆转的操作（如删除、回滚或批量下载）。</w:t>
      </w:r>
    </w:p>
    <w:p w14:paraId="15E87FA8">
      <w:pPr>
        <w:numPr>
          <w:ilvl w:val="0"/>
          <w:numId w:val="14"/>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事件与事故的应对措施</w:t>
      </w:r>
    </w:p>
    <w:p w14:paraId="3C9CEF5E">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对于网络安全事件，组织应采取预防措施，以降低其发生概率和潜在影响。而对于网络安全事故，则需迅速响应，采取措施以减轻损害、恢复系统正常运行，并防止类似事件再次发生。</w:t>
      </w:r>
    </w:p>
    <w:p w14:paraId="7E28B1E9">
      <w:pPr>
        <w:numPr>
          <w:ilvl w:val="0"/>
          <w:numId w:val="14"/>
        </w:numPr>
        <w:spacing w:line="360" w:lineRule="auto"/>
        <w:ind w:left="-426" w:leftChars="0" w:firstLine="426" w:firstLineChars="0"/>
        <w:outlineLvl w:val="1"/>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网络安全事件与事故分类</w:t>
      </w:r>
    </w:p>
    <w:p w14:paraId="2714BC7D">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1. 有害程序事件：指蓄意制造、传播有害程序，或信息系统受到有害程序影响的事件。</w:t>
      </w:r>
    </w:p>
    <w:p w14:paraId="3B940CFB">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2. 网络攻击事故：指通过网络或其他技术手段，利用信息系统配置、协议或程序缺陷，或采用暴力手段对信息系统实施攻击的事件。</w:t>
      </w:r>
    </w:p>
    <w:p w14:paraId="31C3ADE8">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3. 信息破坏事故：指通过网络或其他技术手段，导致信息系统中的信息被篡改、假冒、泄露或窃取的事件。</w:t>
      </w:r>
    </w:p>
    <w:p w14:paraId="09E4A811">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4. 信息内容安全事件：指利用信息网络发布、传播危害国家安全、社会稳定和公共利益的内容的事件。</w:t>
      </w:r>
    </w:p>
    <w:p w14:paraId="290D724F">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5. 设备设施事故：指因信息系统自身故障或外围保障设施故障，以及人为使用非技术手段有意或无意造成的信息系统破坏事件。</w:t>
      </w:r>
    </w:p>
    <w:p w14:paraId="20BDF311">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6. 灾害性事件：指因不可抗力原因对信息系统造成物理破坏的事件。</w:t>
      </w:r>
    </w:p>
    <w:p w14:paraId="3FA3CA9B">
      <w:pPr>
        <w:pStyle w:val="2"/>
        <w:numPr>
          <w:ilvl w:val="0"/>
          <w:numId w:val="0"/>
        </w:numPr>
        <w:ind w:firstLine="420" w:firstLineChars="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7. 其他信息安全事件/事故：对于无法归入上述分类的信息安全事件，将依据其严重程度和是否具备恢复逆转性进行定性。</w:t>
      </w:r>
    </w:p>
    <w:p w14:paraId="15B225CF">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default"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网安管理职责</w:t>
      </w:r>
    </w:p>
    <w:p w14:paraId="134AAD25">
      <w:pPr>
        <w:numPr>
          <w:ilvl w:val="0"/>
          <w:numId w:val="15"/>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网络安全管理责任分配</w:t>
      </w:r>
    </w:p>
    <w:p w14:paraId="2C300868">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网络安全管理责任被明确划分为多个方面，包括网络安全管理岗位人员、技术支撑部门（技术部）、运营与服务部门（运营部、综合管理部），以及外部机构和合作伙伴等。</w:t>
      </w:r>
    </w:p>
    <w:p w14:paraId="449CE7E0">
      <w:pPr>
        <w:numPr>
          <w:ilvl w:val="0"/>
          <w:numId w:val="15"/>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网络安全管理岗位人员的职责</w:t>
      </w:r>
    </w:p>
    <w:p w14:paraId="73F7AF8F">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网络安全管理岗位人员是公司数据安全的集中管理点，其主要职责包括：</w:t>
      </w:r>
    </w:p>
    <w:p w14:paraId="095386DD">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1.遵循网络应用安全管理的相关要求，细化并落实公司内部的网络安全管理政策。</w:t>
      </w:r>
    </w:p>
    <w:p w14:paraId="4E001339">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2.制定网络服务安全管理措施和网络安全标准，监督技术部的日常安全巡检及培训工作。</w:t>
      </w:r>
    </w:p>
    <w:p w14:paraId="303C544B">
      <w:pPr>
        <w:pStyle w:val="2"/>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3.提供对公司内外应用服务的支持，并实施全程安全管控。</w:t>
      </w:r>
    </w:p>
    <w:p w14:paraId="4FAFB56E">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4.检查和评估公司内部数据服务安全管理办法的执行情况，同时评价内部数据使用者的安全责任履行情况。</w:t>
      </w:r>
    </w:p>
    <w:p w14:paraId="74DB6AD1">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5.制定应用安全管理的技术支持要求，确保安全管控的系统性实施。</w:t>
      </w:r>
    </w:p>
    <w:p w14:paraId="2B1F97AB">
      <w:pPr>
        <w:pStyle w:val="2"/>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6.指导各部门落实数据安全管理要求。</w:t>
      </w:r>
    </w:p>
    <w:p w14:paraId="7260461D">
      <w:pPr>
        <w:numPr>
          <w:ilvl w:val="0"/>
          <w:numId w:val="15"/>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技术部的网络安全支撑职责</w:t>
      </w:r>
    </w:p>
    <w:p w14:paraId="48421EE4">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技术部作为网络安全管理的主要支撑部门，在网络安全管理岗位人员的监管和指导下，负责落实“3E”巡检工作法以及网信办等安全监管部门要求的台账记录制度。同时，技术部还负责支撑公司运营部门的对外经营和合作，并参与对外系统应用合作项目的安全合规性审核。</w:t>
      </w:r>
    </w:p>
    <w:p w14:paraId="448D6354">
      <w:pPr>
        <w:numPr>
          <w:ilvl w:val="0"/>
          <w:numId w:val="15"/>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各部门主管的网络安全职责</w:t>
      </w:r>
    </w:p>
    <w:p w14:paraId="645FF867">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各部门主管负责的业务系统是网络安全防护的关键应用。作为项目推进中的关键人物，他们的安全职责包括：</w:t>
      </w:r>
    </w:p>
    <w:p w14:paraId="6BC389AD">
      <w:pPr>
        <w:pStyle w:val="2"/>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1.确保本部门日常工作中遵守网络安全规定。</w:t>
      </w:r>
    </w:p>
    <w:p w14:paraId="04B9DF21">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2.按照应用系统的安全要求，严格把关安全环节，做好业务安全的第一道防线。</w:t>
      </w:r>
    </w:p>
    <w:p w14:paraId="5191BB1B">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3.及时管理本部门入职、离岗人员的管理员账号，确保在岗人员的账号密码定期更换（原则上每月一次），并对因应用系统敏感信息遗失或泄露造成的安全责任负责。</w:t>
      </w:r>
    </w:p>
    <w:p w14:paraId="209BE71B">
      <w:pPr>
        <w:numPr>
          <w:ilvl w:val="0"/>
          <w:numId w:val="15"/>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安全服务商的网络安全职责</w:t>
      </w:r>
    </w:p>
    <w:p w14:paraId="6C7C7ED9">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与公司合作的第三方安全测评服务单位（安全服务商）应承担以下安全职责：</w:t>
      </w:r>
    </w:p>
    <w:p w14:paraId="653876B4">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1.在与外部合作伙伴开展安全测评合作时，各法人实体需签订数据合作协议，明确保密责任。</w:t>
      </w:r>
    </w:p>
    <w:p w14:paraId="4C3140EE">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2.明确测评范围和使用场景，禁止超出协议约定的使用行为，并对由此产生的安全问题和争议承担法律责任。</w:t>
      </w:r>
    </w:p>
    <w:p w14:paraId="7C16A29F">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3.建立长期有效的沟通机制，定期为公司内部各部门成员提供网络安全和数据安全培训，对公司使用的业务系统进行安全检查和漏洞扫描，并及时通报数据使用情况。</w:t>
      </w:r>
    </w:p>
    <w:p w14:paraId="7E82BE63">
      <w:pPr>
        <w:pStyle w:val="2"/>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4.履行合同中约定的其他事项。</w:t>
      </w:r>
    </w:p>
    <w:p w14:paraId="3D570F9C">
      <w:pPr>
        <w:numPr>
          <w:ilvl w:val="0"/>
          <w:numId w:val="3"/>
        </w:numPr>
        <w:kinsoku w:val="0"/>
        <w:topLinePunct/>
        <w:spacing w:before="312" w:beforeLines="100" w:after="315" w:afterLines="100" w:line="360" w:lineRule="auto"/>
        <w:ind w:left="0" w:leftChars="0" w:firstLine="0" w:firstLineChars="0"/>
        <w:jc w:val="center"/>
        <w:textAlignment w:val="center"/>
        <w:outlineLvl w:val="0"/>
        <w:rPr>
          <w:rFonts w:hint="default" w:ascii="楷体" w:hAnsi="楷体" w:eastAsia="楷体" w:cs="宋体"/>
          <w:b/>
          <w:bCs/>
          <w:sz w:val="44"/>
          <w:szCs w:val="44"/>
          <w:lang w:val="en-US" w:eastAsia="zh-CN"/>
        </w:rPr>
      </w:pPr>
      <w:r>
        <w:rPr>
          <w:rFonts w:hint="eastAsia" w:ascii="楷体" w:hAnsi="楷体" w:eastAsia="楷体" w:cs="宋体"/>
          <w:b/>
          <w:bCs/>
          <w:sz w:val="44"/>
          <w:szCs w:val="44"/>
          <w:lang w:val="en-US" w:eastAsia="zh-CN"/>
        </w:rPr>
        <w:t xml:space="preserve"> 违规行为处罚细则</w:t>
      </w:r>
    </w:p>
    <w:p w14:paraId="64F4EE33">
      <w:pPr>
        <w:numPr>
          <w:ilvl w:val="0"/>
          <w:numId w:val="16"/>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公司内应用系统等级划分</w:t>
      </w:r>
    </w:p>
    <w:p w14:paraId="67581A76">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公司内应用系统被划分为以下三个等级：</w:t>
      </w:r>
    </w:p>
    <w:p w14:paraId="2849EAD0">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1.一级业务系统：包括新疆维吾尔自治区教育厅下属的全部业务系统，如健康体检系统。</w:t>
      </w:r>
    </w:p>
    <w:p w14:paraId="7B2F2754">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2.二级业务系统：指公司内部研发搭建的自用系统，且存储有大量个人隐私敏感信息的系统应用，如常见病系统。</w:t>
      </w:r>
    </w:p>
    <w:p w14:paraId="38F31C83">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三级业务系统：为公司内部研发搭建的自用系统，但不存储大量个人隐私敏感信息，如设备档案管理系统。尽管三级业务系统不存储个人隐私，但如存储大量企业商业机密信息，一旦发生网络安全事件，将依据实际情况和情节进行追责。</w:t>
      </w:r>
    </w:p>
    <w:p w14:paraId="749669E6">
      <w:pPr>
        <w:numPr>
          <w:ilvl w:val="0"/>
          <w:numId w:val="16"/>
        </w:numPr>
        <w:spacing w:line="360" w:lineRule="auto"/>
        <w:ind w:left="-426" w:leftChars="0" w:firstLine="426" w:firstLineChars="0"/>
        <w:outlineLvl w:val="1"/>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网络安全事故或事件的责任追究与处罚</w:t>
      </w:r>
    </w:p>
    <w:p w14:paraId="40497739">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以季度为周期进行考核，依据产生网络安全事故或事件的业务系统等级进行后续内部追责处理：</w:t>
      </w:r>
    </w:p>
    <w:p w14:paraId="67D586AA">
      <w:pPr>
        <w:ind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1.一级业务系统：</w:t>
      </w:r>
    </w:p>
    <w:p w14:paraId="39D96F12">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若发现潜在安全隐患（如内部漏扫、外部安全部门攻破）但未造成实质信息泄漏，技术部业务系统实际运维A岗将被扣除当月整月的绩效工资。若有明显证据表明存在敏感信息泄漏或未按网络安全与数据安全制度落实业务系统功能改造，运营部业务系统负责人也将被扣除当月整月的绩效工资。在此情况下，部门主管将承担连带责任，被扣除当月半个月的绩效工资；部门直管决策层领导将承担更多连带责任，被扣除当月整月的绩效工资。网络安全管理岗位人员将承担剩余全部责任，被扣除当月整月的绩效工资，并在全员大会中承认错误、讲明原委、理清后续思路、深刻检讨。</w:t>
      </w:r>
    </w:p>
    <w:p w14:paraId="29333DFB">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若发生严重不可逆事故、大批量敏感信息泄漏或对外造成极坏影响的网络安全事故，将参照上述处罚情况执行，并可给予企业行政警告或开除处分。同时，公司亦保留依法追究具体责任人法律责任的权利。</w:t>
      </w:r>
    </w:p>
    <w:p w14:paraId="5FB0C4A8">
      <w:pPr>
        <w:ind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2.二级业务系统：</w:t>
      </w:r>
    </w:p>
    <w:p w14:paraId="3BE48D8B">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若发现潜在安全隐患但未造成实质信息泄漏，技术部业务系统实际运维A岗将被扣除当月半个月的绩效工资。若有明显证据表明存在敏感信息泄漏或未按制度落实改造，运营部业务系统负责人也将被扣除当月半个月的绩效工资。部门主管将承担连带责任，被扣除当月25%的绩效工资；部门直管决策层领导将承担更多连带责任，被扣除当月半个月的绩效工资。网络安全管理岗位人员将承担剩余全部责任，被扣除当月半个月的绩效工资，并在管理层会议中承认错误、讲明原委、理清后续思路、深刻检讨。</w:t>
      </w:r>
    </w:p>
    <w:p w14:paraId="3483F8A2">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若发生严重不可逆事故、大批量敏感信息泄漏或对外造成极坏影响的网络安全事故，将扣除当月全部工资，并可给予企业行政警告或开除处分。同时，公司亦保留依法追究具体责任人法律责任的权利。</w:t>
      </w:r>
    </w:p>
    <w:p w14:paraId="1FCADAD3">
      <w:pPr>
        <w:ind w:firstLine="420" w:firstLineChars="0"/>
        <w:outlineLvl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3.三级业务系统：</w:t>
      </w:r>
    </w:p>
    <w:p w14:paraId="6618F7F9">
      <w:pPr>
        <w:ind w:firstLine="42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若存储有企业商业机密信息并发生网络安全事件，将依据实际情况和情节，参照二级业务系统的处理办法对相关人员进行追责处罚。</w:t>
      </w:r>
    </w:p>
    <w:p w14:paraId="77C1A8B4">
      <w:pPr>
        <w:pStyle w:val="3"/>
        <w:numPr>
          <w:ilvl w:val="-1"/>
          <w:numId w:val="0"/>
        </w:numPr>
        <w:spacing w:before="0" w:beforeLines="0" w:after="0" w:afterLines="0" w:line="360" w:lineRule="auto"/>
        <w:ind w:left="0" w:firstLine="2650" w:firstLineChars="600"/>
        <w:jc w:val="both"/>
        <w:rPr>
          <w:rFonts w:ascii="Times New Roman" w:hAnsi="Times New Roman"/>
        </w:rPr>
      </w:pPr>
      <w:r>
        <w:rPr>
          <w:rFonts w:hint="eastAsia" w:ascii="楷体" w:hAnsi="楷体" w:eastAsia="楷体" w:cs="宋体"/>
          <w:kern w:val="2"/>
          <w:lang w:val="en-US" w:eastAsia="zh-CN"/>
        </w:rPr>
        <w:t xml:space="preserve">第九章 </w:t>
      </w:r>
      <w:r>
        <w:rPr>
          <w:rFonts w:hint="eastAsia" w:ascii="楷体" w:hAnsi="楷体" w:eastAsia="楷体" w:cs="宋体"/>
          <w:kern w:val="2"/>
        </w:rPr>
        <w:t>附则</w:t>
      </w:r>
    </w:p>
    <w:p w14:paraId="60C74326">
      <w:pPr>
        <w:numPr>
          <w:ilvl w:val="0"/>
          <w:numId w:val="17"/>
        </w:numPr>
        <w:spacing w:beforeLines="0" w:line="360" w:lineRule="auto"/>
        <w:ind w:left="-426" w:leftChars="0" w:firstLine="426" w:firstLineChars="0"/>
        <w:rPr>
          <w:rFonts w:hint="eastAsia" w:ascii="楷体" w:hAnsi="楷体" w:eastAsia="楷体" w:cs="楷体"/>
          <w:sz w:val="28"/>
          <w:szCs w:val="28"/>
          <w:highlight w:val="none"/>
        </w:rPr>
      </w:pPr>
      <w:r>
        <w:rPr>
          <w:rFonts w:hint="eastAsia" w:ascii="楷体" w:hAnsi="楷体" w:eastAsia="楷体" w:cs="楷体"/>
          <w:sz w:val="28"/>
          <w:szCs w:val="28"/>
          <w:highlight w:val="none"/>
        </w:rPr>
        <w:t>本办法自</w:t>
      </w:r>
      <w:r>
        <w:rPr>
          <w:rFonts w:hint="eastAsia" w:ascii="楷体" w:hAnsi="楷体" w:eastAsia="楷体" w:cs="楷体"/>
          <w:sz w:val="28"/>
          <w:szCs w:val="28"/>
          <w:highlight w:val="none"/>
          <w:lang w:val="en-US" w:eastAsia="zh-CN"/>
        </w:rPr>
        <w:t>颁布</w:t>
      </w:r>
      <w:r>
        <w:rPr>
          <w:rFonts w:hint="eastAsia" w:ascii="楷体" w:hAnsi="楷体" w:eastAsia="楷体" w:cs="楷体"/>
          <w:sz w:val="28"/>
          <w:szCs w:val="28"/>
          <w:highlight w:val="none"/>
        </w:rPr>
        <w:t>之日起实施</w:t>
      </w:r>
      <w:r>
        <w:rPr>
          <w:rFonts w:hint="eastAsia" w:ascii="楷体" w:hAnsi="楷体" w:eastAsia="楷体" w:cs="楷体"/>
          <w:sz w:val="28"/>
          <w:szCs w:val="28"/>
          <w:highlight w:val="none"/>
          <w:lang w:eastAsia="zh-CN"/>
        </w:rPr>
        <w:t>，</w:t>
      </w:r>
      <w:r>
        <w:rPr>
          <w:rFonts w:hint="eastAsia" w:ascii="楷体" w:hAnsi="楷体" w:eastAsia="楷体" w:cs="楷体"/>
          <w:sz w:val="28"/>
          <w:szCs w:val="28"/>
          <w:highlight w:val="none"/>
          <w:lang w:val="en-US" w:eastAsia="zh-CN"/>
        </w:rPr>
        <w:t>解释权归网络安全管理岗位人员及技术部</w:t>
      </w:r>
      <w:r>
        <w:rPr>
          <w:rFonts w:hint="eastAsia" w:ascii="楷体" w:hAnsi="楷体" w:eastAsia="楷体" w:cs="楷体"/>
          <w:sz w:val="28"/>
          <w:szCs w:val="28"/>
          <w:highlight w:val="none"/>
        </w:rPr>
        <w:t>。</w:t>
      </w:r>
    </w:p>
    <w:p w14:paraId="7A7602E7">
      <w:pPr>
        <w:pStyle w:val="2"/>
        <w:numPr>
          <w:ilvl w:val="0"/>
          <w:numId w:val="0"/>
        </w:numPr>
        <w:rPr>
          <w:rFonts w:hint="default" w:ascii="楷体" w:hAnsi="楷体" w:eastAsia="楷体" w:cs="楷体"/>
          <w:sz w:val="28"/>
          <w:szCs w:val="28"/>
          <w:lang w:val="en-US" w:eastAsia="zh-CN"/>
        </w:rPr>
      </w:pPr>
    </w:p>
    <w:p w14:paraId="62D34CBF">
      <w:pPr>
        <w:pStyle w:val="2"/>
        <w:numPr>
          <w:ilvl w:val="0"/>
          <w:numId w:val="0"/>
        </w:numPr>
        <w:spacing w:line="360" w:lineRule="auto"/>
        <w:ind w:firstLine="560" w:firstLineChars="200"/>
        <w:rPr>
          <w:rFonts w:hint="eastAsia" w:ascii="楷体" w:hAnsi="楷体" w:eastAsia="楷体" w:cs="楷体"/>
          <w:sz w:val="28"/>
          <w:szCs w:val="28"/>
        </w:rPr>
      </w:pPr>
    </w:p>
    <w:p w14:paraId="0C1031E6">
      <w:pPr>
        <w:pStyle w:val="2"/>
        <w:ind w:left="0" w:leftChars="0" w:firstLine="0" w:firstLineChars="0"/>
        <w:rPr>
          <w:rFonts w:hint="default"/>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7938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047A7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047A7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0EE722"/>
    <w:multiLevelType w:val="singleLevel"/>
    <w:tmpl w:val="920EE722"/>
    <w:lvl w:ilvl="0" w:tentative="0">
      <w:start w:val="1"/>
      <w:numFmt w:val="decimal"/>
      <w:lvlText w:val="%1."/>
      <w:lvlJc w:val="left"/>
      <w:pPr>
        <w:tabs>
          <w:tab w:val="left" w:pos="420"/>
        </w:tabs>
        <w:ind w:left="845" w:hanging="425"/>
      </w:pPr>
      <w:rPr>
        <w:rFonts w:hint="default"/>
      </w:rPr>
    </w:lvl>
  </w:abstractNum>
  <w:abstractNum w:abstractNumId="1">
    <w:nsid w:val="9F2C5A4E"/>
    <w:multiLevelType w:val="singleLevel"/>
    <w:tmpl w:val="9F2C5A4E"/>
    <w:lvl w:ilvl="0" w:tentative="0">
      <w:start w:val="1"/>
      <w:numFmt w:val="decimal"/>
      <w:lvlText w:val="%1."/>
      <w:lvlJc w:val="left"/>
      <w:pPr>
        <w:tabs>
          <w:tab w:val="left" w:pos="420"/>
        </w:tabs>
        <w:ind w:left="845" w:hanging="425"/>
      </w:pPr>
      <w:rPr>
        <w:rFonts w:hint="default"/>
      </w:rPr>
    </w:lvl>
  </w:abstractNum>
  <w:abstractNum w:abstractNumId="2">
    <w:nsid w:val="A702180B"/>
    <w:multiLevelType w:val="multilevel"/>
    <w:tmpl w:val="A702180B"/>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CDA9E22F"/>
    <w:multiLevelType w:val="multilevel"/>
    <w:tmpl w:val="CDA9E22F"/>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D525C006"/>
    <w:multiLevelType w:val="multilevel"/>
    <w:tmpl w:val="D525C006"/>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DC3DD526"/>
    <w:multiLevelType w:val="singleLevel"/>
    <w:tmpl w:val="DC3DD526"/>
    <w:lvl w:ilvl="0" w:tentative="0">
      <w:start w:val="1"/>
      <w:numFmt w:val="decimal"/>
      <w:lvlText w:val="%1."/>
      <w:lvlJc w:val="left"/>
      <w:pPr>
        <w:tabs>
          <w:tab w:val="left" w:pos="420"/>
        </w:tabs>
        <w:ind w:left="845" w:hanging="425"/>
      </w:pPr>
      <w:rPr>
        <w:rFonts w:hint="default"/>
      </w:rPr>
    </w:lvl>
  </w:abstractNum>
  <w:abstractNum w:abstractNumId="6">
    <w:nsid w:val="DF6DFE9C"/>
    <w:multiLevelType w:val="multilevel"/>
    <w:tmpl w:val="DF6DFE9C"/>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414" w:hanging="420"/>
      </w:pPr>
    </w:lvl>
    <w:lvl w:ilvl="2" w:tentative="0">
      <w:start w:val="1"/>
      <w:numFmt w:val="lowerRoman"/>
      <w:lvlText w:val="%3."/>
      <w:lvlJc w:val="right"/>
      <w:pPr>
        <w:ind w:left="834" w:hanging="420"/>
      </w:pPr>
    </w:lvl>
    <w:lvl w:ilvl="3" w:tentative="0">
      <w:start w:val="1"/>
      <w:numFmt w:val="decimal"/>
      <w:lvlText w:val="%4."/>
      <w:lvlJc w:val="left"/>
      <w:pPr>
        <w:ind w:left="1254" w:hanging="420"/>
      </w:pPr>
    </w:lvl>
    <w:lvl w:ilvl="4" w:tentative="0">
      <w:start w:val="1"/>
      <w:numFmt w:val="lowerLetter"/>
      <w:lvlText w:val="%5)"/>
      <w:lvlJc w:val="left"/>
      <w:pPr>
        <w:ind w:left="1674" w:hanging="420"/>
      </w:pPr>
    </w:lvl>
    <w:lvl w:ilvl="5" w:tentative="0">
      <w:start w:val="1"/>
      <w:numFmt w:val="lowerRoman"/>
      <w:lvlText w:val="%6."/>
      <w:lvlJc w:val="right"/>
      <w:pPr>
        <w:ind w:left="2094" w:hanging="420"/>
      </w:pPr>
    </w:lvl>
    <w:lvl w:ilvl="6" w:tentative="0">
      <w:start w:val="1"/>
      <w:numFmt w:val="decimal"/>
      <w:lvlText w:val="%7."/>
      <w:lvlJc w:val="left"/>
      <w:pPr>
        <w:ind w:left="2514" w:hanging="420"/>
      </w:pPr>
    </w:lvl>
    <w:lvl w:ilvl="7" w:tentative="0">
      <w:start w:val="1"/>
      <w:numFmt w:val="lowerLetter"/>
      <w:lvlText w:val="%8)"/>
      <w:lvlJc w:val="left"/>
      <w:pPr>
        <w:ind w:left="2934" w:hanging="420"/>
      </w:pPr>
    </w:lvl>
    <w:lvl w:ilvl="8" w:tentative="0">
      <w:start w:val="1"/>
      <w:numFmt w:val="lowerRoman"/>
      <w:lvlText w:val="%9."/>
      <w:lvlJc w:val="right"/>
      <w:pPr>
        <w:ind w:left="3354" w:hanging="420"/>
      </w:pPr>
    </w:lvl>
  </w:abstractNum>
  <w:abstractNum w:abstractNumId="7">
    <w:nsid w:val="F4C08B6D"/>
    <w:multiLevelType w:val="singleLevel"/>
    <w:tmpl w:val="F4C08B6D"/>
    <w:lvl w:ilvl="0" w:tentative="0">
      <w:start w:val="1"/>
      <w:numFmt w:val="decimal"/>
      <w:lvlText w:val="%1."/>
      <w:lvlJc w:val="left"/>
      <w:pPr>
        <w:tabs>
          <w:tab w:val="left" w:pos="840"/>
        </w:tabs>
        <w:ind w:left="845" w:hanging="425"/>
      </w:pPr>
      <w:rPr>
        <w:rFonts w:hint="default"/>
      </w:rPr>
    </w:lvl>
  </w:abstractNum>
  <w:abstractNum w:abstractNumId="8">
    <w:nsid w:val="F8FCD4F4"/>
    <w:multiLevelType w:val="singleLevel"/>
    <w:tmpl w:val="F8FCD4F4"/>
    <w:lvl w:ilvl="0" w:tentative="0">
      <w:start w:val="3"/>
      <w:numFmt w:val="chineseCounting"/>
      <w:suff w:val="space"/>
      <w:lvlText w:val="第%1章"/>
      <w:lvlJc w:val="left"/>
      <w:pPr>
        <w:tabs>
          <w:tab w:val="left" w:pos="0"/>
        </w:tabs>
      </w:pPr>
      <w:rPr>
        <w:rFonts w:hint="eastAsia"/>
      </w:rPr>
    </w:lvl>
  </w:abstractNum>
  <w:abstractNum w:abstractNumId="9">
    <w:nsid w:val="FE51F2D5"/>
    <w:multiLevelType w:val="multilevel"/>
    <w:tmpl w:val="FE51F2D5"/>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48465F2"/>
    <w:multiLevelType w:val="multilevel"/>
    <w:tmpl w:val="048465F2"/>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F52E93D"/>
    <w:multiLevelType w:val="multilevel"/>
    <w:tmpl w:val="1F52E93D"/>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4BCDC88"/>
    <w:multiLevelType w:val="singleLevel"/>
    <w:tmpl w:val="24BCDC88"/>
    <w:lvl w:ilvl="0" w:tentative="0">
      <w:start w:val="1"/>
      <w:numFmt w:val="decimal"/>
      <w:lvlText w:val="%1."/>
      <w:lvlJc w:val="left"/>
      <w:pPr>
        <w:tabs>
          <w:tab w:val="left" w:pos="420"/>
        </w:tabs>
        <w:ind w:left="845" w:hanging="425"/>
      </w:pPr>
      <w:rPr>
        <w:rFonts w:hint="default"/>
      </w:rPr>
    </w:lvl>
  </w:abstractNum>
  <w:abstractNum w:abstractNumId="13">
    <w:nsid w:val="58D96052"/>
    <w:multiLevelType w:val="multilevel"/>
    <w:tmpl w:val="58D96052"/>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FE7CDA0"/>
    <w:multiLevelType w:val="singleLevel"/>
    <w:tmpl w:val="5FE7CDA0"/>
    <w:lvl w:ilvl="0" w:tentative="0">
      <w:start w:val="1"/>
      <w:numFmt w:val="decimal"/>
      <w:lvlText w:val="%1."/>
      <w:lvlJc w:val="left"/>
      <w:pPr>
        <w:tabs>
          <w:tab w:val="left" w:pos="420"/>
        </w:tabs>
        <w:ind w:left="845" w:hanging="425"/>
      </w:pPr>
      <w:rPr>
        <w:rFonts w:hint="default"/>
      </w:rPr>
    </w:lvl>
  </w:abstractNum>
  <w:abstractNum w:abstractNumId="15">
    <w:nsid w:val="66E767A3"/>
    <w:multiLevelType w:val="singleLevel"/>
    <w:tmpl w:val="66E767A3"/>
    <w:lvl w:ilvl="0" w:tentative="0">
      <w:start w:val="1"/>
      <w:numFmt w:val="decimal"/>
      <w:lvlText w:val="%1."/>
      <w:lvlJc w:val="left"/>
      <w:pPr>
        <w:tabs>
          <w:tab w:val="left" w:pos="1260"/>
        </w:tabs>
        <w:ind w:left="845" w:hanging="425"/>
      </w:pPr>
      <w:rPr>
        <w:rFonts w:hint="default"/>
      </w:rPr>
    </w:lvl>
  </w:abstractNum>
  <w:abstractNum w:abstractNumId="16">
    <w:nsid w:val="75BCD7AB"/>
    <w:multiLevelType w:val="multilevel"/>
    <w:tmpl w:val="75BCD7AB"/>
    <w:lvl w:ilvl="0" w:tentative="0">
      <w:start w:val="1"/>
      <w:numFmt w:val="chineseCountingThousand"/>
      <w:lvlText w:val="第%1条"/>
      <w:lvlJc w:val="left"/>
      <w:pPr>
        <w:ind w:left="1129" w:hanging="420"/>
      </w:pPr>
      <w:rPr>
        <w:rFonts w:hint="eastAsia" w:ascii="楷体" w:hAnsi="楷体" w:eastAsia="楷体" w:cs="楷体"/>
        <w:b/>
        <w:color w:val="000000" w:themeColor="text1"/>
        <w:sz w:val="28"/>
        <w:szCs w:val="28"/>
        <w:lang w:val="en-US"/>
        <w14:textFill>
          <w14:solidFill>
            <w14:schemeClr w14:val="tx1"/>
          </w14:solidFill>
        </w14:textFill>
      </w:rPr>
    </w:lvl>
    <w:lvl w:ilvl="1" w:tentative="0">
      <w:start w:val="1"/>
      <w:numFmt w:val="lowerLetter"/>
      <w:lvlText w:val="%2)"/>
      <w:lvlJc w:val="left"/>
      <w:pPr>
        <w:ind w:left="414" w:hanging="420"/>
      </w:pPr>
    </w:lvl>
    <w:lvl w:ilvl="2" w:tentative="0">
      <w:start w:val="1"/>
      <w:numFmt w:val="lowerRoman"/>
      <w:lvlText w:val="%3."/>
      <w:lvlJc w:val="right"/>
      <w:pPr>
        <w:ind w:left="834" w:hanging="420"/>
      </w:pPr>
    </w:lvl>
    <w:lvl w:ilvl="3" w:tentative="0">
      <w:start w:val="1"/>
      <w:numFmt w:val="decimal"/>
      <w:lvlText w:val="%4."/>
      <w:lvlJc w:val="left"/>
      <w:pPr>
        <w:ind w:left="1254" w:hanging="420"/>
      </w:pPr>
    </w:lvl>
    <w:lvl w:ilvl="4" w:tentative="0">
      <w:start w:val="1"/>
      <w:numFmt w:val="lowerLetter"/>
      <w:lvlText w:val="%5)"/>
      <w:lvlJc w:val="left"/>
      <w:pPr>
        <w:ind w:left="1674" w:hanging="420"/>
      </w:pPr>
    </w:lvl>
    <w:lvl w:ilvl="5" w:tentative="0">
      <w:start w:val="1"/>
      <w:numFmt w:val="lowerRoman"/>
      <w:lvlText w:val="%6."/>
      <w:lvlJc w:val="right"/>
      <w:pPr>
        <w:ind w:left="2094" w:hanging="420"/>
      </w:pPr>
    </w:lvl>
    <w:lvl w:ilvl="6" w:tentative="0">
      <w:start w:val="1"/>
      <w:numFmt w:val="decimal"/>
      <w:lvlText w:val="%7."/>
      <w:lvlJc w:val="left"/>
      <w:pPr>
        <w:ind w:left="2514" w:hanging="420"/>
      </w:pPr>
    </w:lvl>
    <w:lvl w:ilvl="7" w:tentative="0">
      <w:start w:val="1"/>
      <w:numFmt w:val="lowerLetter"/>
      <w:lvlText w:val="%8)"/>
      <w:lvlJc w:val="left"/>
      <w:pPr>
        <w:ind w:left="2934" w:hanging="420"/>
      </w:pPr>
    </w:lvl>
    <w:lvl w:ilvl="8" w:tentative="0">
      <w:start w:val="1"/>
      <w:numFmt w:val="lowerRoman"/>
      <w:lvlText w:val="%9."/>
      <w:lvlJc w:val="right"/>
      <w:pPr>
        <w:ind w:left="3354" w:hanging="420"/>
      </w:pPr>
    </w:lvl>
  </w:abstractNum>
  <w:num w:numId="1">
    <w:abstractNumId w:val="10"/>
  </w:num>
  <w:num w:numId="2">
    <w:abstractNumId w:val="6"/>
  </w:num>
  <w:num w:numId="3">
    <w:abstractNumId w:val="8"/>
  </w:num>
  <w:num w:numId="4">
    <w:abstractNumId w:val="3"/>
  </w:num>
  <w:num w:numId="5">
    <w:abstractNumId w:val="1"/>
  </w:num>
  <w:num w:numId="6">
    <w:abstractNumId w:val="12"/>
  </w:num>
  <w:num w:numId="7">
    <w:abstractNumId w:val="14"/>
  </w:num>
  <w:num w:numId="8">
    <w:abstractNumId w:val="7"/>
  </w:num>
  <w:num w:numId="9">
    <w:abstractNumId w:val="15"/>
  </w:num>
  <w:num w:numId="10">
    <w:abstractNumId w:val="0"/>
  </w:num>
  <w:num w:numId="11">
    <w:abstractNumId w:val="5"/>
  </w:num>
  <w:num w:numId="12">
    <w:abstractNumId w:val="9"/>
  </w:num>
  <w:num w:numId="13">
    <w:abstractNumId w:val="2"/>
  </w:num>
  <w:num w:numId="14">
    <w:abstractNumId w:val="11"/>
  </w:num>
  <w:num w:numId="15">
    <w:abstractNumId w:val="13"/>
  </w:num>
  <w:num w:numId="16">
    <w:abstractNumId w:val="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iYmY0MWVhZmE2OGVhODJhYmIyOGFkMGViNGE3NjAifQ=="/>
  </w:docVars>
  <w:rsids>
    <w:rsidRoot w:val="00000000"/>
    <w:rsid w:val="009C15CF"/>
    <w:rsid w:val="06354F33"/>
    <w:rsid w:val="06514C09"/>
    <w:rsid w:val="0670475A"/>
    <w:rsid w:val="07197B34"/>
    <w:rsid w:val="07E43BEA"/>
    <w:rsid w:val="09E63D90"/>
    <w:rsid w:val="09EA5159"/>
    <w:rsid w:val="0A3E6FA0"/>
    <w:rsid w:val="0AA73501"/>
    <w:rsid w:val="0DBA74BB"/>
    <w:rsid w:val="0EE4486D"/>
    <w:rsid w:val="0F9F0794"/>
    <w:rsid w:val="10154594"/>
    <w:rsid w:val="10DC29FC"/>
    <w:rsid w:val="10E96908"/>
    <w:rsid w:val="11A72980"/>
    <w:rsid w:val="121A2353"/>
    <w:rsid w:val="12BB58E4"/>
    <w:rsid w:val="12D24A30"/>
    <w:rsid w:val="12E87EFA"/>
    <w:rsid w:val="13D470FC"/>
    <w:rsid w:val="13DC1FB6"/>
    <w:rsid w:val="1494079D"/>
    <w:rsid w:val="165D6CB3"/>
    <w:rsid w:val="16C531D6"/>
    <w:rsid w:val="1B7A0685"/>
    <w:rsid w:val="1BAE3887"/>
    <w:rsid w:val="1C1222ED"/>
    <w:rsid w:val="1F212F73"/>
    <w:rsid w:val="20EB001C"/>
    <w:rsid w:val="215F566C"/>
    <w:rsid w:val="219022A1"/>
    <w:rsid w:val="21E5472C"/>
    <w:rsid w:val="22CD2F2C"/>
    <w:rsid w:val="25C60ECD"/>
    <w:rsid w:val="261944C4"/>
    <w:rsid w:val="26711ACD"/>
    <w:rsid w:val="2A0A64AC"/>
    <w:rsid w:val="2B7F799F"/>
    <w:rsid w:val="2CC6109F"/>
    <w:rsid w:val="2EFC4E63"/>
    <w:rsid w:val="308B46F0"/>
    <w:rsid w:val="309A4933"/>
    <w:rsid w:val="30D103C3"/>
    <w:rsid w:val="3182568D"/>
    <w:rsid w:val="32963820"/>
    <w:rsid w:val="32AC24A1"/>
    <w:rsid w:val="35220FD2"/>
    <w:rsid w:val="35B9585C"/>
    <w:rsid w:val="36C541A7"/>
    <w:rsid w:val="3756532C"/>
    <w:rsid w:val="3A037D52"/>
    <w:rsid w:val="3B427E5C"/>
    <w:rsid w:val="3BC9431F"/>
    <w:rsid w:val="3DDD10B9"/>
    <w:rsid w:val="3DF75BFE"/>
    <w:rsid w:val="3E0553DD"/>
    <w:rsid w:val="3E416D36"/>
    <w:rsid w:val="3EB47508"/>
    <w:rsid w:val="3FC36836"/>
    <w:rsid w:val="3FF30868"/>
    <w:rsid w:val="402B30D2"/>
    <w:rsid w:val="40C46B89"/>
    <w:rsid w:val="430A1DED"/>
    <w:rsid w:val="4365448B"/>
    <w:rsid w:val="44AC2FBC"/>
    <w:rsid w:val="44C77869"/>
    <w:rsid w:val="44D37FBC"/>
    <w:rsid w:val="451E05CF"/>
    <w:rsid w:val="46BC33FE"/>
    <w:rsid w:val="4856629F"/>
    <w:rsid w:val="49593653"/>
    <w:rsid w:val="49FA008C"/>
    <w:rsid w:val="4AE960B6"/>
    <w:rsid w:val="4C793B3F"/>
    <w:rsid w:val="4C9E5354"/>
    <w:rsid w:val="4CDD475C"/>
    <w:rsid w:val="4CFE3FEF"/>
    <w:rsid w:val="4DD23507"/>
    <w:rsid w:val="4E3E294A"/>
    <w:rsid w:val="4E8269B3"/>
    <w:rsid w:val="4E8A644B"/>
    <w:rsid w:val="4EE54E22"/>
    <w:rsid w:val="4FA3605E"/>
    <w:rsid w:val="51B34BEF"/>
    <w:rsid w:val="51BB160E"/>
    <w:rsid w:val="524B7D2C"/>
    <w:rsid w:val="539F704B"/>
    <w:rsid w:val="5459422B"/>
    <w:rsid w:val="563E34F8"/>
    <w:rsid w:val="56423F3B"/>
    <w:rsid w:val="56797189"/>
    <w:rsid w:val="56BF4AEC"/>
    <w:rsid w:val="575C077A"/>
    <w:rsid w:val="57BA0499"/>
    <w:rsid w:val="5947076C"/>
    <w:rsid w:val="59A26C05"/>
    <w:rsid w:val="5BB725AE"/>
    <w:rsid w:val="5BF06B3E"/>
    <w:rsid w:val="5C361105"/>
    <w:rsid w:val="5C89560E"/>
    <w:rsid w:val="5F5468B3"/>
    <w:rsid w:val="602D281F"/>
    <w:rsid w:val="602D6CC3"/>
    <w:rsid w:val="60514806"/>
    <w:rsid w:val="61204AC3"/>
    <w:rsid w:val="623F189C"/>
    <w:rsid w:val="637D3ABD"/>
    <w:rsid w:val="6508350C"/>
    <w:rsid w:val="654D69E5"/>
    <w:rsid w:val="66EA3218"/>
    <w:rsid w:val="671B5AC7"/>
    <w:rsid w:val="679F2254"/>
    <w:rsid w:val="69EF0463"/>
    <w:rsid w:val="6A717BA6"/>
    <w:rsid w:val="6AD9507E"/>
    <w:rsid w:val="6C133606"/>
    <w:rsid w:val="6C2E004A"/>
    <w:rsid w:val="6E1C0AE4"/>
    <w:rsid w:val="6EBF4F8A"/>
    <w:rsid w:val="6EF250B4"/>
    <w:rsid w:val="6FD46577"/>
    <w:rsid w:val="70096AB4"/>
    <w:rsid w:val="70A703CB"/>
    <w:rsid w:val="717209D9"/>
    <w:rsid w:val="736B3932"/>
    <w:rsid w:val="73E84730"/>
    <w:rsid w:val="750861E1"/>
    <w:rsid w:val="75CA12C2"/>
    <w:rsid w:val="761262E7"/>
    <w:rsid w:val="76833DC4"/>
    <w:rsid w:val="76B567D2"/>
    <w:rsid w:val="782F4F2E"/>
    <w:rsid w:val="784B788E"/>
    <w:rsid w:val="79155BE7"/>
    <w:rsid w:val="7A745707"/>
    <w:rsid w:val="7B0C7E90"/>
    <w:rsid w:val="7B13701C"/>
    <w:rsid w:val="7B22228F"/>
    <w:rsid w:val="7B90378C"/>
    <w:rsid w:val="7BDF0A53"/>
    <w:rsid w:val="7C1854DF"/>
    <w:rsid w:val="7C2D3E7B"/>
    <w:rsid w:val="7D16737F"/>
    <w:rsid w:val="7D33726F"/>
    <w:rsid w:val="7EF62A2E"/>
    <w:rsid w:val="7F290DA6"/>
    <w:rsid w:val="7F610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5339</Words>
  <Characters>5420</Characters>
  <Lines>1</Lines>
  <Paragraphs>1</Paragraphs>
  <TotalTime>17</TotalTime>
  <ScaleCrop>false</ScaleCrop>
  <LinksUpToDate>false</LinksUpToDate>
  <CharactersWithSpaces>5438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2024-10-18T03:28:00Z</dcterms:created>
  <dc:creator>72981</dc:creator>
  <cp:lastModifiedBy>炳淮</cp:lastModifiedBy>
  <dcterms:modified xsi:type="dcterms:W3CDTF">2025-06-18T16:12:31Z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8294B497FB3F41C9B47D2E21AE8B5A58_12</vt:lpwstr>
  </property>
  <property fmtid="{D5CDD505-2E9C-101B-9397-08002B2CF9AE}" pid="4" name="KSOTemplateDocerSaveRecord">
    <vt:lpwstr>eyJoZGlkIjoiZjg5MWUxOTRkNmMxNTQ0NDU1NjRmNGMxN2ZlNjBhZmQiLCJ1c2VySWQiOiI3MzkxMjExODMifQ==</vt:lpwstr>
  </property>
</Properties>
</file>